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5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70"/>
        <w:gridCol w:w="6765"/>
      </w:tblGrid>
      <w:tr w:rsidR="005308F7">
        <w:tc>
          <w:tcPr>
            <w:tcW w:w="9510" w:type="dxa"/>
            <w:gridSpan w:val="3"/>
          </w:tcPr>
          <w:p w:rsidR="005308F7" w:rsidRDefault="00D54119">
            <w:pPr>
              <w:keepNext/>
              <w:jc w:val="center"/>
              <w:rPr>
                <w:highlight w:val="white"/>
              </w:rPr>
            </w:pPr>
            <w:r>
              <w:rPr>
                <w:highlight w:val="white"/>
              </w:rPr>
              <w:t>PROPUNERI   DE TEME PENTRU ELABORAREA  LUCRARII METODICO-ȘTIINȚIFICE  GRADUL I</w:t>
            </w:r>
          </w:p>
          <w:p w:rsidR="003D3944" w:rsidRDefault="000957CE">
            <w:pPr>
              <w:keepNext/>
              <w:jc w:val="center"/>
            </w:pPr>
            <w:r>
              <w:rPr>
                <w:highlight w:val="white"/>
              </w:rPr>
              <w:t xml:space="preserve">SERIA </w:t>
            </w:r>
            <w:r w:rsidR="003D3944">
              <w:t>2024-2026</w:t>
            </w:r>
          </w:p>
          <w:p w:rsidR="005308F7" w:rsidRDefault="00D54119">
            <w:pPr>
              <w:keepNext/>
              <w:jc w:val="center"/>
            </w:pPr>
            <w:bookmarkStart w:id="0" w:name="_GoBack"/>
            <w:bookmarkEnd w:id="0"/>
            <w:r>
              <w:rPr>
                <w:b/>
                <w:highlight w:val="white"/>
              </w:rPr>
              <w:t>Specializarea L.L. ENGLEZĂ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Nr.crt</w:t>
            </w:r>
          </w:p>
        </w:tc>
        <w:tc>
          <w:tcPr>
            <w:tcW w:w="2070" w:type="dxa"/>
          </w:tcPr>
          <w:p w:rsidR="005308F7" w:rsidRDefault="00D54119">
            <w:pPr>
              <w:keepNext/>
              <w:jc w:val="center"/>
            </w:pPr>
            <w:r>
              <w:t>Tema propusă</w:t>
            </w:r>
          </w:p>
        </w:tc>
        <w:tc>
          <w:tcPr>
            <w:tcW w:w="6765" w:type="dxa"/>
          </w:tcPr>
          <w:p w:rsidR="005308F7" w:rsidRDefault="00D54119">
            <w:pPr>
              <w:keepNext/>
              <w:jc w:val="center"/>
            </w:pPr>
            <w:r>
              <w:t>Bibliografie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1.</w:t>
            </w:r>
          </w:p>
        </w:tc>
        <w:tc>
          <w:tcPr>
            <w:tcW w:w="2070" w:type="dxa"/>
          </w:tcPr>
          <w:p w:rsidR="005308F7" w:rsidRDefault="00D54119">
            <w:pPr>
              <w:keepNext/>
            </w:pPr>
            <w:r>
              <w:t>Teaching grammar communicatively</w:t>
            </w:r>
          </w:p>
          <w:p w:rsidR="005308F7" w:rsidRDefault="005308F7">
            <w:pPr>
              <w:keepNext/>
            </w:pPr>
          </w:p>
        </w:tc>
        <w:tc>
          <w:tcPr>
            <w:tcW w:w="6765" w:type="dxa"/>
          </w:tcPr>
          <w:p w:rsidR="005308F7" w:rsidRDefault="00D54119">
            <w:pPr>
              <w:keepNext/>
            </w:pPr>
            <w:r>
              <w:t>Harmer, Jeremy. 2007. The Practice of English Language Teaching. London: Longman.</w:t>
            </w:r>
          </w:p>
          <w:p w:rsidR="005308F7" w:rsidRDefault="00D54119">
            <w:pPr>
              <w:keepNext/>
            </w:pPr>
            <w:r>
              <w:t>Ur, P. 1988. Grammar Practice Activities. Cambridge: Cambridge University Press.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2.</w:t>
            </w:r>
          </w:p>
        </w:tc>
        <w:tc>
          <w:tcPr>
            <w:tcW w:w="2070" w:type="dxa"/>
          </w:tcPr>
          <w:p w:rsidR="005308F7" w:rsidRDefault="00D54119">
            <w:pPr>
              <w:keepNext/>
            </w:pPr>
            <w:r>
              <w:t>Language and literature: two complementary perspectives</w:t>
            </w:r>
          </w:p>
        </w:tc>
        <w:tc>
          <w:tcPr>
            <w:tcW w:w="6765" w:type="dxa"/>
          </w:tcPr>
          <w:p w:rsidR="005308F7" w:rsidRDefault="00D54119">
            <w:pPr>
              <w:keepNext/>
            </w:pPr>
            <w:r>
              <w:t>Carter, R., Long, M. N. 1991. Teaching Literature. London: Longman.</w:t>
            </w:r>
          </w:p>
          <w:p w:rsidR="005308F7" w:rsidRDefault="00D54119">
            <w:pPr>
              <w:keepNext/>
            </w:pPr>
            <w:r>
              <w:t>Kramsch, C. 1993. Context and Culture in Language Teaching. Oxford: Oxford University Press.</w:t>
            </w:r>
          </w:p>
          <w:p w:rsidR="005308F7" w:rsidRDefault="00D54119">
            <w:pPr>
              <w:keepNext/>
            </w:pPr>
            <w:r>
              <w:t>McKay, Sandra 2000. “Literature in the ESL Classroom” in Literature and Language Teaching, edited by Brumfit, C. J., Carter, R. A. Oxford: Oxford University Press.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3.</w:t>
            </w:r>
          </w:p>
        </w:tc>
        <w:tc>
          <w:tcPr>
            <w:tcW w:w="2070" w:type="dxa"/>
          </w:tcPr>
          <w:p w:rsidR="005308F7" w:rsidRDefault="00D54119">
            <w:pPr>
              <w:keepNext/>
            </w:pPr>
            <w:r>
              <w:t>Communicative competences in the teaching and learning of EFL</w:t>
            </w:r>
          </w:p>
          <w:p w:rsidR="005308F7" w:rsidRDefault="005308F7">
            <w:pPr>
              <w:keepNext/>
            </w:pPr>
          </w:p>
        </w:tc>
        <w:tc>
          <w:tcPr>
            <w:tcW w:w="6765" w:type="dxa"/>
          </w:tcPr>
          <w:p w:rsidR="005308F7" w:rsidRDefault="00D54119">
            <w:pPr>
              <w:keepNext/>
            </w:pPr>
            <w:r>
              <w:t>Larsen-Freeman, D. 1986. Techniques and Principles in Language Teaching. Oxford: Oxford University Press.</w:t>
            </w:r>
          </w:p>
          <w:p w:rsidR="005308F7" w:rsidRDefault="00D54119">
            <w:pPr>
              <w:keepNext/>
            </w:pPr>
            <w:r>
              <w:t>Stern, H. H. 1996. Fundamental Concepts of Language Teaching. Oxford: Oxford University Press.</w:t>
            </w:r>
          </w:p>
          <w:p w:rsidR="005308F7" w:rsidRDefault="00D54119">
            <w:pPr>
              <w:keepNext/>
            </w:pPr>
            <w:r>
              <w:t xml:space="preserve">Harmer, Jeremy. 2007. The Practice of English Language Teaching. London: Longman.                                           </w:t>
            </w:r>
          </w:p>
          <w:p w:rsidR="005308F7" w:rsidRDefault="005308F7">
            <w:pPr>
              <w:keepNext/>
            </w:pP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4.</w:t>
            </w:r>
          </w:p>
        </w:tc>
        <w:tc>
          <w:tcPr>
            <w:tcW w:w="2070" w:type="dxa"/>
          </w:tcPr>
          <w:p w:rsidR="005308F7" w:rsidRDefault="00D54119">
            <w:pPr>
              <w:keepNext/>
            </w:pPr>
            <w:r>
              <w:t>CLIL-a new theory and method in the teaching of EFL</w:t>
            </w:r>
          </w:p>
          <w:p w:rsidR="005308F7" w:rsidRDefault="005308F7">
            <w:pPr>
              <w:keepNext/>
            </w:pPr>
          </w:p>
        </w:tc>
        <w:tc>
          <w:tcPr>
            <w:tcW w:w="6765" w:type="dxa"/>
          </w:tcPr>
          <w:p w:rsidR="005308F7" w:rsidRDefault="00D54119">
            <w:pPr>
              <w:keepNext/>
            </w:pPr>
            <w:r>
              <w:t>Meehisto, P., Marsh, D., Frigols, M.J.. 2008. Uncovering CLIL. Macmillan Oxford.</w:t>
            </w:r>
          </w:p>
          <w:p w:rsidR="005308F7" w:rsidRDefault="00D54119">
            <w:pPr>
              <w:keepNext/>
            </w:pPr>
            <w:r>
              <w:t>Coyle, D., Hood, P., Marsh, D., 2010. CLIL: Content and Language Integrated Learning. Cambridge University Press.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5.</w:t>
            </w:r>
          </w:p>
        </w:tc>
        <w:tc>
          <w:tcPr>
            <w:tcW w:w="2070" w:type="dxa"/>
          </w:tcPr>
          <w:p w:rsidR="005308F7" w:rsidRDefault="00D54119">
            <w:pPr>
              <w:keepNext/>
            </w:pPr>
            <w:r>
              <w:t>Using movies in teaching English</w:t>
            </w:r>
          </w:p>
          <w:p w:rsidR="005308F7" w:rsidRDefault="005308F7">
            <w:pPr>
              <w:keepNext/>
            </w:pPr>
          </w:p>
        </w:tc>
        <w:tc>
          <w:tcPr>
            <w:tcW w:w="6765" w:type="dxa"/>
          </w:tcPr>
          <w:p w:rsidR="005308F7" w:rsidRDefault="00D54119">
            <w:pPr>
              <w:keepNext/>
            </w:pPr>
            <w:r>
              <w:t xml:space="preserve">Baddock, B. (1996). </w:t>
            </w:r>
            <w:r>
              <w:rPr>
                <w:i/>
              </w:rPr>
              <w:t>Using films in the English class</w:t>
            </w:r>
            <w:r>
              <w:t>. MEP monographs. Hemel Hempstead Phoenix ELT.</w:t>
            </w:r>
          </w:p>
          <w:p w:rsidR="005308F7" w:rsidRDefault="005308F7">
            <w:pPr>
              <w:keepNext/>
            </w:pPr>
          </w:p>
          <w:p w:rsidR="005308F7" w:rsidRDefault="00D54119">
            <w:pPr>
              <w:keepNext/>
            </w:pPr>
            <w:bookmarkStart w:id="1" w:name="_gjdgxs" w:colFirst="0" w:colLast="0"/>
            <w:bookmarkEnd w:id="1"/>
            <w:r>
              <w:t xml:space="preserve">Donaghy, Kieran. (2015). </w:t>
            </w:r>
            <w:r>
              <w:rPr>
                <w:i/>
              </w:rPr>
              <w:t xml:space="preserve">Film in Action. Teaching Language Using Moving Images. </w:t>
            </w:r>
            <w:r>
              <w:t>Delta Teacher Development Series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6.</w:t>
            </w:r>
          </w:p>
        </w:tc>
        <w:tc>
          <w:tcPr>
            <w:tcW w:w="2070" w:type="dxa"/>
          </w:tcPr>
          <w:p w:rsidR="005308F7" w:rsidRDefault="00D54119">
            <w:pPr>
              <w:keepNext/>
            </w:pPr>
            <w:r>
              <w:t>Raising cultural awareness in advanced EFL classes</w:t>
            </w:r>
          </w:p>
          <w:p w:rsidR="005308F7" w:rsidRDefault="005308F7">
            <w:pPr>
              <w:keepNext/>
            </w:pPr>
          </w:p>
        </w:tc>
        <w:tc>
          <w:tcPr>
            <w:tcW w:w="6765" w:type="dxa"/>
          </w:tcPr>
          <w:p w:rsidR="005308F7" w:rsidRDefault="00D54119">
            <w:pPr>
              <w:keepNext/>
            </w:pPr>
            <w:r>
              <w:t xml:space="preserve">Tomlin, B., Stempleski, S, </w:t>
            </w:r>
            <w:r>
              <w:rPr>
                <w:i/>
              </w:rPr>
              <w:t>Cultural Awareness</w:t>
            </w:r>
            <w:r>
              <w:t>, 2012, Oxford University Press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7.</w:t>
            </w:r>
          </w:p>
        </w:tc>
        <w:tc>
          <w:tcPr>
            <w:tcW w:w="2070" w:type="dxa"/>
          </w:tcPr>
          <w:p w:rsidR="005308F7" w:rsidRDefault="005308F7">
            <w:pPr>
              <w:keepNext/>
            </w:pPr>
          </w:p>
          <w:p w:rsidR="005308F7" w:rsidRDefault="00D54119">
            <w:pPr>
              <w:keepNext/>
            </w:pPr>
            <w:r>
              <w:t>Grammar and vocabulary through games in intermediate level classes</w:t>
            </w:r>
          </w:p>
        </w:tc>
        <w:tc>
          <w:tcPr>
            <w:tcW w:w="6765" w:type="dxa"/>
          </w:tcPr>
          <w:p w:rsidR="005308F7" w:rsidRDefault="00D54119">
            <w:pPr>
              <w:keepNext/>
            </w:pPr>
            <w:r>
              <w:t xml:space="preserve">Rinvolucri, M., 2008, </w:t>
            </w:r>
            <w:r>
              <w:rPr>
                <w:i/>
              </w:rPr>
              <w:t xml:space="preserve">Grammar Games: Cognitive, Affective and Drama Activities for EFL Students, </w:t>
            </w:r>
            <w:r>
              <w:t>Cambridge University Press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lastRenderedPageBreak/>
              <w:t>8.</w:t>
            </w:r>
          </w:p>
        </w:tc>
        <w:tc>
          <w:tcPr>
            <w:tcW w:w="2070" w:type="dxa"/>
          </w:tcPr>
          <w:p w:rsidR="005308F7" w:rsidRDefault="00D54119">
            <w:pPr>
              <w:keepNext/>
            </w:pPr>
            <w:r>
              <w:t xml:space="preserve">Classroom testing and evaluation: the case of young learners </w:t>
            </w:r>
          </w:p>
          <w:p w:rsidR="005308F7" w:rsidRDefault="005308F7">
            <w:pPr>
              <w:keepNext/>
            </w:pPr>
          </w:p>
        </w:tc>
        <w:tc>
          <w:tcPr>
            <w:tcW w:w="6765" w:type="dxa"/>
          </w:tcPr>
          <w:p w:rsidR="005308F7" w:rsidRDefault="00D54119">
            <w:pPr>
              <w:keepNext/>
            </w:pPr>
            <w:r>
              <w:t xml:space="preserve">McKey, P.,  2011, </w:t>
            </w:r>
            <w:r>
              <w:rPr>
                <w:i/>
              </w:rPr>
              <w:t>Assessing</w:t>
            </w:r>
            <w:r>
              <w:t xml:space="preserve"> </w:t>
            </w:r>
            <w:r>
              <w:rPr>
                <w:i/>
              </w:rPr>
              <w:t>Young Language Learners</w:t>
            </w:r>
            <w:r>
              <w:t>, Cambridge University Press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9.</w:t>
            </w:r>
          </w:p>
        </w:tc>
        <w:tc>
          <w:tcPr>
            <w:tcW w:w="2070" w:type="dxa"/>
          </w:tcPr>
          <w:p w:rsidR="005308F7" w:rsidRDefault="00D54119">
            <w:pPr>
              <w:keepNext/>
            </w:pPr>
            <w:r>
              <w:t>Using modern audio-visual aids as motivational tools in the EFL classroom</w:t>
            </w:r>
          </w:p>
          <w:p w:rsidR="005308F7" w:rsidRDefault="005308F7">
            <w:pPr>
              <w:keepNext/>
            </w:pPr>
          </w:p>
        </w:tc>
        <w:tc>
          <w:tcPr>
            <w:tcW w:w="6765" w:type="dxa"/>
          </w:tcPr>
          <w:p w:rsidR="005308F7" w:rsidRDefault="00D54119">
            <w:pPr>
              <w:keepNext/>
            </w:pPr>
            <w:r>
              <w:t xml:space="preserve">Mathew, N.G., Alidmat, A.O.H. 2013. </w:t>
            </w:r>
            <w:r>
              <w:rPr>
                <w:i/>
              </w:rPr>
              <w:t>A study on the usefulness of audio-visual aids in EFL classroom: Implications for effective instruction</w:t>
            </w:r>
            <w:r>
              <w:t>. International Journal of Higher Education. 2 (2):86-92.</w:t>
            </w:r>
          </w:p>
          <w:p w:rsidR="005308F7" w:rsidRDefault="00D54119">
            <w:pPr>
              <w:keepNext/>
            </w:pPr>
            <w:r>
              <w:t xml:space="preserve">Scrivener, J. 2005. </w:t>
            </w:r>
            <w:r>
              <w:rPr>
                <w:i/>
              </w:rPr>
              <w:t>Learning teaching: A guidebook for English language teachers</w:t>
            </w:r>
            <w:r>
              <w:t>. Oxford: Macmillan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10.</w:t>
            </w:r>
          </w:p>
        </w:tc>
        <w:tc>
          <w:tcPr>
            <w:tcW w:w="2070" w:type="dxa"/>
          </w:tcPr>
          <w:p w:rsidR="005308F7" w:rsidRDefault="00D54119">
            <w:pPr>
              <w:keepNext/>
            </w:pPr>
            <w:r>
              <w:t>Building bonds in the EFL classroom</w:t>
            </w:r>
          </w:p>
        </w:tc>
        <w:tc>
          <w:tcPr>
            <w:tcW w:w="6765" w:type="dxa"/>
          </w:tcPr>
          <w:p w:rsidR="005308F7" w:rsidRDefault="00D54119">
            <w:pPr>
              <w:keepNext/>
            </w:pPr>
            <w:r>
              <w:t xml:space="preserve">Maley, A. 1995. </w:t>
            </w:r>
            <w:r>
              <w:rPr>
                <w:i/>
              </w:rPr>
              <w:t xml:space="preserve">Classroom Dynamics. </w:t>
            </w:r>
            <w:r>
              <w:t>Oxford: Oxford University Press.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11.</w:t>
            </w:r>
          </w:p>
        </w:tc>
        <w:tc>
          <w:tcPr>
            <w:tcW w:w="2070" w:type="dxa"/>
          </w:tcPr>
          <w:p w:rsidR="005308F7" w:rsidRDefault="00D54119">
            <w:pPr>
              <w:keepNext/>
            </w:pPr>
            <w:r>
              <w:t>To use or not to use English? Dilemmas in teaching and explaining English to young learners.</w:t>
            </w:r>
          </w:p>
        </w:tc>
        <w:tc>
          <w:tcPr>
            <w:tcW w:w="6765" w:type="dxa"/>
          </w:tcPr>
          <w:p w:rsidR="005308F7" w:rsidRDefault="00D54119">
            <w:pPr>
              <w:keepNext/>
            </w:pPr>
            <w:r>
              <w:t>Johnson, M. 2004.</w:t>
            </w:r>
            <w:r>
              <w:rPr>
                <w:i/>
              </w:rPr>
              <w:t>A Philosophy of Second Language Teaching</w:t>
            </w:r>
            <w:r>
              <w:t>. New Haven:Yale University Press</w:t>
            </w:r>
          </w:p>
        </w:tc>
      </w:tr>
      <w:tr w:rsidR="005308F7">
        <w:tc>
          <w:tcPr>
            <w:tcW w:w="675" w:type="dxa"/>
          </w:tcPr>
          <w:p w:rsidR="005308F7" w:rsidRDefault="00D54119">
            <w:pPr>
              <w:keepNext/>
              <w:jc w:val="center"/>
            </w:pPr>
            <w:r>
              <w:t>12.</w:t>
            </w:r>
          </w:p>
        </w:tc>
        <w:tc>
          <w:tcPr>
            <w:tcW w:w="2070" w:type="dxa"/>
          </w:tcPr>
          <w:p w:rsidR="005308F7" w:rsidRDefault="00D54119">
            <w:pPr>
              <w:keepNext/>
            </w:pPr>
            <w:r>
              <w:t>Digital instruments in teaching EFL</w:t>
            </w:r>
          </w:p>
        </w:tc>
        <w:tc>
          <w:tcPr>
            <w:tcW w:w="6765" w:type="dxa"/>
          </w:tcPr>
          <w:p w:rsidR="005308F7" w:rsidRDefault="00D54119">
            <w:pPr>
              <w:keepNext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Andrews, Richard. 2000. “Framing and Design in ICT in English: Towards a New Subject and New Practices in the Classroom” in </w:t>
            </w:r>
            <w:r>
              <w:rPr>
                <w:i/>
                <w:color w:val="1A1A1A"/>
              </w:rPr>
              <w:t xml:space="preserve">English in the Digital Age: Information and Communications Technology (ICT) and the Teaching of English. </w:t>
            </w:r>
            <w:r>
              <w:rPr>
                <w:color w:val="1A1A1A"/>
              </w:rPr>
              <w:t xml:space="preserve">EBSCO Publishing: eBook Collection, EBSCOhost. </w:t>
            </w:r>
          </w:p>
          <w:p w:rsidR="005308F7" w:rsidRDefault="005308F7">
            <w:pPr>
              <w:keepNext/>
              <w:ind w:left="1440" w:hanging="720"/>
              <w:jc w:val="both"/>
              <w:rPr>
                <w:color w:val="1A1A1A"/>
              </w:rPr>
            </w:pPr>
          </w:p>
          <w:p w:rsidR="005308F7" w:rsidRDefault="00D54119">
            <w:pPr>
              <w:keepNext/>
              <w:jc w:val="both"/>
              <w:rPr>
                <w:i/>
                <w:color w:val="1A1A1A"/>
              </w:rPr>
            </w:pPr>
            <w:r>
              <w:rPr>
                <w:color w:val="1A1A1A"/>
              </w:rPr>
              <w:t xml:space="preserve">Bates, Anthony William (Tony). 2019. </w:t>
            </w:r>
            <w:r>
              <w:rPr>
                <w:i/>
                <w:color w:val="1A1A1A"/>
              </w:rPr>
              <w:t xml:space="preserve">Teaching in a Digital Age – Second Edition. Guidelines for Designing Teaching and Learning. Vancouver, B.C.: Tony Bates Associates Ltd. Retrieved from </w:t>
            </w:r>
            <w:hyperlink r:id="rId6">
              <w:r>
                <w:rPr>
                  <w:i/>
                  <w:color w:val="1155CC"/>
                  <w:u w:val="single"/>
                </w:rPr>
                <w:t>https://pressbooks.bccampus.ca/teachinginadigitalagev2/</w:t>
              </w:r>
            </w:hyperlink>
          </w:p>
          <w:p w:rsidR="005308F7" w:rsidRDefault="005308F7">
            <w:pPr>
              <w:keepNext/>
              <w:jc w:val="both"/>
              <w:rPr>
                <w:i/>
                <w:color w:val="1A1A1A"/>
              </w:rPr>
            </w:pPr>
          </w:p>
          <w:p w:rsidR="005308F7" w:rsidRDefault="00D54119">
            <w:pPr>
              <w:keepNext/>
              <w:jc w:val="both"/>
              <w:rPr>
                <w:color w:val="1A1A1A"/>
              </w:rPr>
            </w:pPr>
            <w:r>
              <w:rPr>
                <w:color w:val="1A1A1A"/>
              </w:rPr>
              <w:t xml:space="preserve">Rüschoff, Bernd. 2016. </w:t>
            </w:r>
            <w:r>
              <w:rPr>
                <w:i/>
                <w:color w:val="1A1A1A"/>
              </w:rPr>
              <w:t xml:space="preserve">“Digital Tools, Language Learning and Language Interaction: An Introductory Assessment” in Technology Implementation in Second Language Teaching and Translation Studies. New Frontiers in Translation Studies. </w:t>
            </w:r>
            <w:r>
              <w:rPr>
                <w:color w:val="1A1A1A"/>
              </w:rPr>
              <w:t>Maria Luisa Carriò-Pastor (ed.). Singapore: Springer Science and Business Media.</w:t>
            </w:r>
          </w:p>
          <w:p w:rsidR="005308F7" w:rsidRDefault="005308F7">
            <w:pPr>
              <w:keepNext/>
              <w:spacing w:line="360" w:lineRule="auto"/>
              <w:ind w:hanging="1440"/>
              <w:jc w:val="both"/>
              <w:rPr>
                <w:i/>
                <w:color w:val="1A1A1A"/>
              </w:rPr>
            </w:pPr>
          </w:p>
          <w:p w:rsidR="005308F7" w:rsidRDefault="005308F7">
            <w:pPr>
              <w:keepNext/>
            </w:pPr>
          </w:p>
        </w:tc>
      </w:tr>
    </w:tbl>
    <w:p w:rsidR="005308F7" w:rsidRDefault="005308F7"/>
    <w:sectPr w:rsidR="005308F7">
      <w:headerReference w:type="default" r:id="rId7"/>
      <w:footerReference w:type="default" r:id="rId8"/>
      <w:pgSz w:w="11906" w:h="16838"/>
      <w:pgMar w:top="1701" w:right="1133" w:bottom="1560" w:left="1418" w:header="450" w:footer="2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889" w:rsidRDefault="00061889">
      <w:r>
        <w:separator/>
      </w:r>
    </w:p>
  </w:endnote>
  <w:endnote w:type="continuationSeparator" w:id="0">
    <w:p w:rsidR="00061889" w:rsidRDefault="0006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F7" w:rsidRDefault="00D54119">
    <w:pPr>
      <w:pBdr>
        <w:top w:val="nil"/>
        <w:left w:val="nil"/>
        <w:bottom w:val="nil"/>
        <w:right w:val="nil"/>
        <w:between w:val="nil"/>
      </w:pBdr>
      <w:rPr>
        <w:rFonts w:ascii="Arial Narrow" w:eastAsia="Arial Narrow" w:hAnsi="Arial Narrow" w:cs="Arial Narrow"/>
        <w:color w:val="FFC000"/>
      </w:rPr>
    </w:pPr>
    <w:r>
      <w:rPr>
        <w:rFonts w:ascii="Arial Narrow" w:eastAsia="Arial Narrow" w:hAnsi="Arial Narrow" w:cs="Arial Narrow"/>
        <w:b/>
        <w:color w:val="FFC000"/>
      </w:rPr>
      <w:fldChar w:fldCharType="begin"/>
    </w:r>
    <w:r>
      <w:rPr>
        <w:rFonts w:ascii="Arial Narrow" w:eastAsia="Arial Narrow" w:hAnsi="Arial Narrow" w:cs="Arial Narrow"/>
        <w:b/>
        <w:color w:val="FFC000"/>
      </w:rPr>
      <w:instrText>PAGE</w:instrText>
    </w:r>
    <w:r>
      <w:rPr>
        <w:rFonts w:ascii="Arial Narrow" w:eastAsia="Arial Narrow" w:hAnsi="Arial Narrow" w:cs="Arial Narrow"/>
        <w:b/>
        <w:color w:val="FFC000"/>
      </w:rPr>
      <w:fldChar w:fldCharType="separate"/>
    </w:r>
    <w:r w:rsidR="003D3944">
      <w:rPr>
        <w:rFonts w:ascii="Arial Narrow" w:eastAsia="Arial Narrow" w:hAnsi="Arial Narrow" w:cs="Arial Narrow"/>
        <w:b/>
        <w:noProof/>
        <w:color w:val="FFC000"/>
      </w:rPr>
      <w:t>2</w:t>
    </w:r>
    <w:r>
      <w:rPr>
        <w:rFonts w:ascii="Arial Narrow" w:eastAsia="Arial Narrow" w:hAnsi="Arial Narrow" w:cs="Arial Narrow"/>
        <w:b/>
        <w:color w:val="FFC000"/>
      </w:rPr>
      <w:fldChar w:fldCharType="end"/>
    </w:r>
  </w:p>
  <w:p w:rsidR="005308F7" w:rsidRDefault="00D54119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b/>
        <w:color w:val="548DD4"/>
        <w:sz w:val="22"/>
        <w:szCs w:val="22"/>
      </w:rPr>
      <w:t>PAGINA</w:t>
    </w:r>
    <w:r>
      <w:rPr>
        <w:rFonts w:ascii="Arial Narrow" w:eastAsia="Arial Narrow" w:hAnsi="Arial Narrow" w:cs="Arial Narrow"/>
        <w:color w:val="548DD4"/>
        <w:sz w:val="22"/>
        <w:szCs w:val="22"/>
      </w:rPr>
      <w:t xml:space="preserve">  | 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-139699</wp:posOffset>
              </wp:positionV>
              <wp:extent cx="4070985" cy="66548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15270" y="3452023"/>
                        <a:ext cx="406146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5308F7" w:rsidRDefault="00D54119">
                          <w:pPr>
                            <w:ind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>B-dul Vasile Pârvan, Nr. 4, Cam. 226, 300223 Timişoara, România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22"/>
                            </w:rPr>
                            <w:t xml:space="preserve"> </w:t>
                          </w:r>
                        </w:p>
                        <w:p w:rsidR="005308F7" w:rsidRDefault="00D54119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17"/>
                            </w:rPr>
                            <w:t xml:space="preserve">Tel.: +4 0256-592.106 (Director), +4 0256-592.151 (Secretariat), Fax: +4 0256-592.360 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17"/>
                            </w:rPr>
                            <w:t>.</w:t>
                          </w:r>
                        </w:p>
                        <w:p w:rsidR="005308F7" w:rsidRDefault="00D54119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2060"/>
                              <w:sz w:val="20"/>
                            </w:rPr>
                            <w:t>www.dppd.uvt.ro</w:t>
                          </w: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5308F7" w:rsidRDefault="00D54119">
                          <w:pPr>
                            <w:ind w:left="-425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:rsidR="005308F7" w:rsidRDefault="005308F7">
                          <w:pPr>
                            <w:textDirection w:val="btLr"/>
                          </w:pPr>
                        </w:p>
                        <w:p w:rsidR="005308F7" w:rsidRDefault="005308F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1219200</wp:posOffset>
              </wp:positionH>
              <wp:positionV relativeFrom="paragraph">
                <wp:posOffset>-139699</wp:posOffset>
              </wp:positionV>
              <wp:extent cx="4070985" cy="66548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70985" cy="6654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5287010</wp:posOffset>
          </wp:positionH>
          <wp:positionV relativeFrom="paragraph">
            <wp:posOffset>-146049</wp:posOffset>
          </wp:positionV>
          <wp:extent cx="741045" cy="531495"/>
          <wp:effectExtent l="0" t="0" r="0" b="0"/>
          <wp:wrapSquare wrapText="bothSides" distT="0" distB="0" distL="114300" distR="114300"/>
          <wp:docPr id="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 r="59983" b="17146"/>
                  <a:stretch>
                    <a:fillRect/>
                  </a:stretch>
                </pic:blipFill>
                <pic:spPr>
                  <a:xfrm>
                    <a:off x="0" y="0"/>
                    <a:ext cx="741045" cy="531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08F7" w:rsidRDefault="00D54119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:rsidR="005308F7" w:rsidRDefault="00061889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3">
      <w:r w:rsidR="00D54119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:rsidR="005308F7" w:rsidRDefault="005308F7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889" w:rsidRDefault="00061889">
      <w:r>
        <w:separator/>
      </w:r>
    </w:p>
  </w:footnote>
  <w:footnote w:type="continuationSeparator" w:id="0">
    <w:p w:rsidR="00061889" w:rsidRDefault="00061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F7" w:rsidRDefault="00D54119">
    <w:pPr>
      <w:pBdr>
        <w:top w:val="nil"/>
        <w:left w:val="nil"/>
        <w:bottom w:val="nil"/>
        <w:right w:val="nil"/>
        <w:between w:val="nil"/>
      </w:pBdr>
      <w:ind w:left="-540" w:right="-158" w:firstLine="5220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-468629</wp:posOffset>
          </wp:positionH>
          <wp:positionV relativeFrom="paragraph">
            <wp:posOffset>19050</wp:posOffset>
          </wp:positionV>
          <wp:extent cx="2311400" cy="596900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140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08F7" w:rsidRDefault="00D54119">
    <w:pPr>
      <w:pBdr>
        <w:top w:val="nil"/>
        <w:left w:val="nil"/>
        <w:bottom w:val="nil"/>
        <w:right w:val="nil"/>
        <w:between w:val="nil"/>
      </w:pBdr>
      <w:ind w:left="-540" w:right="-158" w:firstLine="5076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1866900</wp:posOffset>
              </wp:positionH>
              <wp:positionV relativeFrom="paragraph">
                <wp:posOffset>12700</wp:posOffset>
              </wp:positionV>
              <wp:extent cx="4290695" cy="48006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05415" y="3544733"/>
                        <a:ext cx="428117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5308F7" w:rsidRDefault="00D54119">
                          <w:pPr>
                            <w:ind w:left="-567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..</w:t>
                          </w:r>
                          <w:r w:rsidR="006A7B77"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5"/>
                            </w:rPr>
                            <w:t xml:space="preserve"> MINISTERUL EDUCAŢIEI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  <w:sz w:val="16"/>
                            </w:rPr>
                            <w:t>.I</w:t>
                          </w:r>
                        </w:p>
                        <w:p w:rsidR="005308F7" w:rsidRDefault="00D54119">
                          <w:pPr>
                            <w:ind w:left="-567" w:right="-158"/>
                            <w:jc w:val="right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20"/>
                            </w:rPr>
                            <w:t xml:space="preserve">   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0070C0"/>
                              <w:sz w:val="16"/>
                            </w:rPr>
                            <w:t>DEPARTAMENTUL PENTRU PREGĂTIREA PERSONALULUI DIDACTIC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548DD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color w:val="FFFFFF"/>
                            </w:rPr>
                            <w:t>.</w:t>
                          </w:r>
                        </w:p>
                        <w:p w:rsidR="005308F7" w:rsidRDefault="005308F7">
                          <w:pPr>
                            <w:ind w:left="-567" w:right="-158"/>
                            <w:jc w:val="center"/>
                            <w:textDirection w:val="btLr"/>
                          </w:pPr>
                        </w:p>
                        <w:p w:rsidR="005308F7" w:rsidRDefault="00D54119">
                          <w:pPr>
                            <w:ind w:left="-567"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548DD4"/>
                              <w:sz w:val="32"/>
                            </w:rPr>
                            <w:t xml:space="preserve"> </w:t>
                          </w:r>
                        </w:p>
                        <w:p w:rsidR="005308F7" w:rsidRDefault="005308F7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147pt;margin-top:1pt;width:337.85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" stroked="f">
              <v:textbox inset="2.53958mm,1.2694mm,2.53958mm,1.2694mm">
                <w:txbxContent>
                  <w:p w:rsidR="005308F7" w:rsidRDefault="00D54119">
                    <w:pPr>
                      <w:ind w:left="-567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  <w:sz w:val="16"/>
                      </w:rPr>
                      <w:t>..</w:t>
                    </w:r>
                    <w:r w:rsidR="006A7B77">
                      <w:rPr>
                        <w:rFonts w:ascii="Arial Narrow" w:eastAsia="Arial Narrow" w:hAnsi="Arial Narrow" w:cs="Arial Narrow"/>
                        <w:b/>
                        <w:color w:val="548DD4"/>
                        <w:sz w:val="15"/>
                      </w:rPr>
                      <w:t xml:space="preserve"> MINISTERUL EDUCAŢIEI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  <w:sz w:val="16"/>
                      </w:rPr>
                      <w:t>.I</w:t>
                    </w:r>
                  </w:p>
                  <w:p w:rsidR="005308F7" w:rsidRDefault="00D54119">
                    <w:pPr>
                      <w:ind w:left="-567" w:right="-158"/>
                      <w:jc w:val="right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b/>
                        <w:color w:val="548DD4"/>
                        <w:sz w:val="20"/>
                      </w:rPr>
                      <w:t xml:space="preserve">     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0070C0"/>
                        <w:sz w:val="16"/>
                      </w:rPr>
                      <w:t>DEPARTAMENTUL PENTRU PREGĂTIREA PERSONALULUI DIDACTIC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548DD4"/>
                        <w:sz w:val="16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b/>
                        <w:color w:val="FFFFFF"/>
                      </w:rPr>
                      <w:t>.</w:t>
                    </w:r>
                  </w:p>
                  <w:p w:rsidR="005308F7" w:rsidRDefault="005308F7">
                    <w:pPr>
                      <w:ind w:left="-567" w:right="-158"/>
                      <w:jc w:val="center"/>
                      <w:textDirection w:val="btLr"/>
                    </w:pPr>
                  </w:p>
                  <w:p w:rsidR="005308F7" w:rsidRDefault="00D54119">
                    <w:pPr>
                      <w:ind w:left="-567" w:right="-158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548DD4"/>
                        <w:sz w:val="32"/>
                      </w:rPr>
                      <w:t xml:space="preserve"> </w:t>
                    </w:r>
                  </w:p>
                  <w:p w:rsidR="005308F7" w:rsidRDefault="005308F7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5308F7" w:rsidRDefault="00D54119">
    <w:pPr>
      <w:pBdr>
        <w:top w:val="nil"/>
        <w:left w:val="nil"/>
        <w:bottom w:val="nil"/>
        <w:right w:val="nil"/>
        <w:between w:val="nil"/>
      </w:pBdr>
      <w:ind w:left="-540" w:right="-158" w:firstLine="5076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-42544</wp:posOffset>
          </wp:positionH>
          <wp:positionV relativeFrom="paragraph">
            <wp:posOffset>243840</wp:posOffset>
          </wp:positionV>
          <wp:extent cx="6176645" cy="3365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6645" cy="33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7"/>
    <w:rsid w:val="00061889"/>
    <w:rsid w:val="000957CE"/>
    <w:rsid w:val="002C7EB9"/>
    <w:rsid w:val="003D3944"/>
    <w:rsid w:val="005308F7"/>
    <w:rsid w:val="006A7B77"/>
    <w:rsid w:val="00AA1F5A"/>
    <w:rsid w:val="00D236DC"/>
    <w:rsid w:val="00D5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E170B"/>
  <w15:docId w15:val="{1A38B3E4-87D9-4DCC-B24B-866DF95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outlineLvl w:val="2"/>
    </w:pPr>
    <w:rPr>
      <w:rFonts w:ascii="Tahoma" w:eastAsia="Tahoma" w:hAnsi="Tahoma" w:cs="Tahoma"/>
      <w:b/>
      <w:color w:val="FFFFFF"/>
      <w:sz w:val="18"/>
      <w:szCs w:val="1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A7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77"/>
  </w:style>
  <w:style w:type="paragraph" w:styleId="Footer">
    <w:name w:val="footer"/>
    <w:basedOn w:val="Normal"/>
    <w:link w:val="FooterChar"/>
    <w:uiPriority w:val="99"/>
    <w:unhideWhenUsed/>
    <w:rsid w:val="006A7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books.bccampus.ca/teachinginadigitalagev2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7</cp:revision>
  <dcterms:created xsi:type="dcterms:W3CDTF">2020-12-21T05:45:00Z</dcterms:created>
  <dcterms:modified xsi:type="dcterms:W3CDTF">2023-12-07T13:33:00Z</dcterms:modified>
</cp:coreProperties>
</file>