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p w:rsidR="00390523" w:rsidRPr="00913CFB" w:rsidRDefault="00390523" w:rsidP="00913CFB">
      <w:pPr>
        <w:keepNext/>
        <w:ind w:hanging="2"/>
        <w:rPr>
          <w:sz w:val="28"/>
          <w:szCs w:val="28"/>
        </w:rPr>
      </w:pPr>
    </w:p>
    <w:p w:rsidR="00390523" w:rsidRPr="00913CFB" w:rsidRDefault="000A0CDF" w:rsidP="00913CFB">
      <w:pPr>
        <w:keepNext/>
        <w:ind w:left="2" w:hanging="4"/>
        <w:jc w:val="center"/>
        <w:rPr>
          <w:b/>
          <w:sz w:val="28"/>
          <w:szCs w:val="28"/>
        </w:rPr>
      </w:pPr>
      <w:r w:rsidRPr="00913CFB">
        <w:rPr>
          <w:b/>
          <w:sz w:val="28"/>
          <w:szCs w:val="28"/>
        </w:rPr>
        <w:t xml:space="preserve">PROPUNERI   DE TEME </w:t>
      </w:r>
    </w:p>
    <w:p w:rsidR="00390523" w:rsidRPr="00913CFB" w:rsidRDefault="000A0CDF" w:rsidP="00913CFB">
      <w:pPr>
        <w:keepNext/>
        <w:ind w:left="2" w:hanging="4"/>
        <w:jc w:val="center"/>
        <w:rPr>
          <w:b/>
          <w:sz w:val="28"/>
          <w:szCs w:val="28"/>
        </w:rPr>
      </w:pPr>
      <w:r w:rsidRPr="00913CFB">
        <w:rPr>
          <w:b/>
          <w:sz w:val="28"/>
          <w:szCs w:val="28"/>
        </w:rPr>
        <w:t xml:space="preserve">PENTRU ELABORAREA  LUCRĂRII METODICO-ȘTIINȚIFICE  </w:t>
      </w:r>
    </w:p>
    <w:p w:rsidR="00390523" w:rsidRPr="00913CFB" w:rsidRDefault="000A0CDF" w:rsidP="00913CFB">
      <w:pPr>
        <w:keepNext/>
        <w:ind w:left="2" w:hanging="4"/>
        <w:jc w:val="center"/>
        <w:rPr>
          <w:b/>
          <w:sz w:val="28"/>
          <w:szCs w:val="28"/>
        </w:rPr>
      </w:pPr>
      <w:r w:rsidRPr="00913CFB">
        <w:rPr>
          <w:b/>
          <w:sz w:val="28"/>
          <w:szCs w:val="28"/>
        </w:rPr>
        <w:t>GRADUL I</w:t>
      </w:r>
    </w:p>
    <w:p w:rsidR="00390523" w:rsidRPr="00913CFB" w:rsidRDefault="000A0CDF" w:rsidP="00913CFB">
      <w:pPr>
        <w:keepNext/>
        <w:ind w:left="2" w:hanging="4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913CFB">
        <w:rPr>
          <w:b/>
          <w:sz w:val="28"/>
          <w:szCs w:val="28"/>
        </w:rPr>
        <w:t>SERIA 2024-2026</w:t>
      </w:r>
    </w:p>
    <w:p w:rsidR="00390523" w:rsidRPr="00913CFB" w:rsidRDefault="000A0CDF" w:rsidP="00913CFB">
      <w:pPr>
        <w:keepNext/>
        <w:ind w:left="2" w:hanging="4"/>
        <w:jc w:val="center"/>
        <w:rPr>
          <w:b/>
          <w:sz w:val="28"/>
          <w:szCs w:val="28"/>
        </w:rPr>
      </w:pPr>
      <w:r w:rsidRPr="00913CFB">
        <w:rPr>
          <w:b/>
          <w:sz w:val="28"/>
          <w:szCs w:val="28"/>
        </w:rPr>
        <w:t>Specializarea – BIOLOGIE -</w:t>
      </w:r>
    </w:p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tbl>
      <w:tblPr>
        <w:tblStyle w:val="a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2995"/>
        <w:gridCol w:w="5375"/>
      </w:tblGrid>
      <w:tr w:rsidR="00390523" w:rsidRPr="00913CFB" w:rsidTr="00913CFB">
        <w:tc>
          <w:tcPr>
            <w:tcW w:w="870" w:type="dxa"/>
          </w:tcPr>
          <w:p w:rsidR="00390523" w:rsidRPr="00913CFB" w:rsidRDefault="000A0CDF" w:rsidP="00913CFB">
            <w:pPr>
              <w:keepNext/>
              <w:ind w:firstLine="0"/>
            </w:pPr>
            <w:r w:rsidRPr="00913CFB">
              <w:t>Nr.crt</w:t>
            </w:r>
          </w:p>
        </w:tc>
        <w:tc>
          <w:tcPr>
            <w:tcW w:w="2995" w:type="dxa"/>
          </w:tcPr>
          <w:p w:rsidR="00390523" w:rsidRPr="00913CFB" w:rsidRDefault="000A0CDF" w:rsidP="00913CFB">
            <w:pPr>
              <w:keepNext/>
              <w:ind w:firstLine="0"/>
            </w:pPr>
            <w:r w:rsidRPr="00913CFB">
              <w:t>Tema propusă</w:t>
            </w:r>
          </w:p>
        </w:tc>
        <w:tc>
          <w:tcPr>
            <w:tcW w:w="5375" w:type="dxa"/>
          </w:tcPr>
          <w:p w:rsidR="00390523" w:rsidRPr="00913CFB" w:rsidRDefault="000A0CDF" w:rsidP="00913CFB">
            <w:pPr>
              <w:keepNext/>
              <w:ind w:firstLine="0"/>
            </w:pPr>
            <w:r w:rsidRPr="00913CFB">
              <w:t>Bibliografie</w:t>
            </w:r>
          </w:p>
        </w:tc>
      </w:tr>
      <w:tr w:rsidR="00390523" w:rsidRPr="00913CFB" w:rsidTr="00913CFB">
        <w:tc>
          <w:tcPr>
            <w:tcW w:w="870" w:type="dxa"/>
          </w:tcPr>
          <w:p w:rsidR="00390523" w:rsidRPr="00913CFB" w:rsidRDefault="000A0CDF" w:rsidP="00913CFB">
            <w:pPr>
              <w:keepNext/>
              <w:ind w:firstLine="0"/>
            </w:pPr>
            <w:r w:rsidRPr="00913CFB">
              <w:t>1.</w:t>
            </w:r>
          </w:p>
        </w:tc>
        <w:tc>
          <w:tcPr>
            <w:tcW w:w="2995" w:type="dxa"/>
          </w:tcPr>
          <w:p w:rsidR="00390523" w:rsidRPr="00913CFB" w:rsidRDefault="000A0CDF" w:rsidP="00913CFB">
            <w:pPr>
              <w:keepNext/>
              <w:ind w:firstLine="0"/>
            </w:pPr>
            <w:r w:rsidRPr="00913CFB">
              <w:t>Studiu privind evaluarea si autoevaluarea elevilor la disciplina Biologie</w:t>
            </w:r>
          </w:p>
        </w:tc>
        <w:tc>
          <w:tcPr>
            <w:tcW w:w="5375" w:type="dxa"/>
          </w:tcPr>
          <w:p w:rsidR="00390523" w:rsidRPr="00913CFB" w:rsidRDefault="000A0CDF" w:rsidP="00913CFB">
            <w:pPr>
              <w:keepNext/>
              <w:numPr>
                <w:ilvl w:val="0"/>
                <w:numId w:val="1"/>
              </w:numPr>
              <w:ind w:left="0" w:firstLine="0"/>
              <w:rPr>
                <w:rFonts w:eastAsia="Arial Narrow"/>
              </w:rPr>
            </w:pPr>
            <w:r w:rsidRPr="00913CFB">
              <w:rPr>
                <w:rFonts w:eastAsia="Arial Narrow"/>
              </w:rPr>
              <w:t xml:space="preserve">GHID DE EVALUARE DISCIPLINA BIOLOGIE. </w:t>
            </w:r>
            <w:hyperlink r:id="rId8">
              <w:r w:rsidRPr="00913CFB">
                <w:rPr>
                  <w:rFonts w:eastAsia="Arial Narrow"/>
                  <w:color w:val="1155CC"/>
                  <w:u w:val="single"/>
                </w:rPr>
                <w:t>https://moam.info/ghid-de-evaluare-biologie-insam_59dfdff81723dd4f6c685f8b.html</w:t>
              </w:r>
            </w:hyperlink>
          </w:p>
          <w:p w:rsidR="00390523" w:rsidRPr="00913CFB" w:rsidRDefault="000A0CDF" w:rsidP="00913CFB">
            <w:pPr>
              <w:keepNext/>
              <w:numPr>
                <w:ilvl w:val="0"/>
                <w:numId w:val="1"/>
              </w:numPr>
              <w:ind w:left="0" w:firstLine="0"/>
              <w:rPr>
                <w:rFonts w:eastAsia="Arial Narrow"/>
              </w:rPr>
            </w:pPr>
            <w:r w:rsidRPr="00913CFB">
              <w:rPr>
                <w:rFonts w:eastAsia="Arial Narrow"/>
              </w:rPr>
              <w:t>Ianovici N., Frent AO. 2009.</w:t>
            </w:r>
            <w:r w:rsidRPr="00913CFB">
              <w:rPr>
                <w:rFonts w:eastAsia="Arial Narrow"/>
                <w:color w:val="111111"/>
              </w:rPr>
              <w:t>Metode dida</w:t>
            </w:r>
            <w:r w:rsidRPr="00913CFB">
              <w:rPr>
                <w:rFonts w:eastAsia="Arial Narrow"/>
                <w:color w:val="111111"/>
              </w:rPr>
              <w:t xml:space="preserve">ctice in predare, invatare si evaluare la Biologie. </w:t>
            </w:r>
          </w:p>
          <w:p w:rsidR="00390523" w:rsidRPr="00913CFB" w:rsidRDefault="000A0CDF" w:rsidP="00913CFB">
            <w:pPr>
              <w:keepNext/>
              <w:ind w:firstLine="0"/>
              <w:rPr>
                <w:rFonts w:eastAsia="Arial Narrow"/>
              </w:rPr>
            </w:pPr>
            <w:hyperlink r:id="rId9">
              <w:r w:rsidRPr="00913CFB">
                <w:rPr>
                  <w:rFonts w:eastAsia="Arial Narrow"/>
                  <w:color w:val="1155CC"/>
                  <w:u w:val="single"/>
                </w:rPr>
                <w:t>https://www.researchgate.net/publication/235922087_Metode_didactice_in_p</w:t>
              </w:r>
              <w:r w:rsidRPr="00913CFB">
                <w:rPr>
                  <w:rFonts w:eastAsia="Arial Narrow"/>
                  <w:color w:val="1155CC"/>
                  <w:u w:val="single"/>
                </w:rPr>
                <w:t>redare_invatare_si_evaluare_la_Biologie</w:t>
              </w:r>
            </w:hyperlink>
          </w:p>
        </w:tc>
      </w:tr>
    </w:tbl>
    <w:tbl>
      <w:tblPr>
        <w:tblStyle w:val="a0"/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945"/>
        <w:gridCol w:w="4990"/>
      </w:tblGrid>
      <w:tr w:rsidR="00390523" w:rsidRPr="00913CFB" w:rsidTr="00913CFB">
        <w:trPr>
          <w:trHeight w:val="250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lastRenderedPageBreak/>
              <w:t>2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hanging="2"/>
              <w:jc w:val="both"/>
              <w:rPr>
                <w:b/>
              </w:rPr>
            </w:pPr>
            <w:r w:rsidRPr="00913CFB">
              <w:rPr>
                <w:b/>
              </w:rPr>
              <w:t>Impactul unor poluanti asupra  unor  ecosisteme  acvatice  sau  terestre;  particularitati  din  zona ....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1. Drăgan-Bularda, M.,  Lucrări practice – Microbiologie, Cluj-Napoca, 2000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2. Dunca, S., Ailiesei, O., Nimitan, E., Ştefan, M.,  Microbiologie aplic</w:t>
            </w:r>
            <w:r w:rsidRPr="00913CFB">
              <w:t>ată, ETP Tehnopress, Iaşi, 2004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3. Borozan, A., Microbiologie, Editura Mirton, Timişoara, 2006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4. Filimon MN, Microbiologia solului-Lucrări practice, Ed. Universităţii de Vest, Timişoara, 2007,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5. Filimon MN, Microbiologia solului, Editura Mirton, 2009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6. </w:t>
            </w:r>
            <w:r w:rsidRPr="00913CFB">
              <w:t>Borozan, A., Biologia și microbiologia solului, Editura Mirton, Timișoara, 2006</w:t>
            </w:r>
          </w:p>
        </w:tc>
      </w:tr>
      <w:tr w:rsidR="00390523" w:rsidRPr="00913CFB" w:rsidTr="00913CFB">
        <w:trPr>
          <w:trHeight w:val="2485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t>3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hanging="2"/>
              <w:jc w:val="both"/>
              <w:rPr>
                <w:b/>
              </w:rPr>
            </w:pPr>
            <w:r w:rsidRPr="00913CFB">
              <w:rPr>
                <w:b/>
              </w:rPr>
              <w:t>Poluarea  mediului:  particularizarea  în  cazul  ecosistemelor  din  zona ....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1. Drăgan-Bularda, M.,  Lucrări practice – Microbiologie, Cluj-Napoca, 2000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2. Dunca, S., Ailiesei, O., Nimitan, E., Ştefan, M.,  Microbiologie aplicată, ETP Tehnopress, Iaşi, 2004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3. Borozan, A., Microbiologie, Editura Mirton, Timişoara, 2006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4. Filimon MN, Microbiologia solului-Lucrări practice, Ed. Universităţii de Vest, Timişo</w:t>
            </w:r>
            <w:r w:rsidRPr="00913CFB">
              <w:t>ara, 2007,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5. Filimon MN, Microbiologia solului, Editura Mirton, 2009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6. Borozan, A., Biologia și microbiologia solului, Editura Mirton, Timișoara, 2006</w:t>
            </w:r>
          </w:p>
        </w:tc>
      </w:tr>
      <w:tr w:rsidR="00390523" w:rsidRPr="00913CFB" w:rsidTr="00913CFB">
        <w:trPr>
          <w:trHeight w:val="217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t>4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  <w:rPr>
                <w:b/>
              </w:rPr>
            </w:pPr>
            <w:r w:rsidRPr="00913CFB">
              <w:rPr>
                <w:b/>
              </w:rPr>
              <w:t>Plante cu rol farmacodinamic din diferite zone geografice și integrarea acestora în procesul didac</w:t>
            </w:r>
            <w:r w:rsidRPr="00913CFB">
              <w:rPr>
                <w:b/>
              </w:rPr>
              <w:t>tic (Flora medicinală din diferite zone geografice și integrarea rezultatelor în procesul didactic)</w:t>
            </w:r>
          </w:p>
          <w:p w:rsidR="00390523" w:rsidRPr="00913CFB" w:rsidRDefault="00390523" w:rsidP="00913CFB">
            <w:pPr>
              <w:keepNext/>
              <w:ind w:firstLine="0"/>
              <w:jc w:val="both"/>
              <w:rPr>
                <w:b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Ardelean, A., Mohan, Gh., 2008, </w:t>
            </w:r>
            <w:r w:rsidRPr="00913CFB">
              <w:rPr>
                <w:i/>
              </w:rPr>
              <w:t>Flora Medicinală a României</w:t>
            </w:r>
            <w:r w:rsidRPr="00913CFB">
              <w:t>, Editura All, București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Bojor, O., Alexan, M., 1984, </w:t>
            </w:r>
            <w:r w:rsidRPr="00913CFB">
              <w:rPr>
                <w:i/>
              </w:rPr>
              <w:t>Plantele medicinale și aromatice de la A l</w:t>
            </w:r>
            <w:r w:rsidRPr="00913CFB">
              <w:rPr>
                <w:i/>
              </w:rPr>
              <w:t>a Z</w:t>
            </w:r>
            <w:r w:rsidRPr="00913CFB">
              <w:t>,  Editura  Recoop, București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Chifu, T., (coord.), 2001 – </w:t>
            </w:r>
            <w:r w:rsidRPr="00913CFB">
              <w:rPr>
                <w:i/>
              </w:rPr>
              <w:t>Botanică sistematică, Cormobionta</w:t>
            </w:r>
            <w:r w:rsidRPr="00913CFB">
              <w:t>, Ed. Univ. „Al. Ioan Cuza”, Iaşi;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Ciocârlan, V., 2009 - </w:t>
            </w:r>
            <w:r w:rsidRPr="00913CFB">
              <w:rPr>
                <w:i/>
              </w:rPr>
              <w:t>Flora ilustrată a României</w:t>
            </w:r>
            <w:r w:rsidRPr="00913CFB">
              <w:t>, Ed. Ceres, București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Săvulescu, T., Pop, E., coord., 1952 – 1972 - Flora R.P.R. – R.S.R., Editura Academiei R.P.R. R.S.R, Bucureşti.</w:t>
            </w:r>
          </w:p>
        </w:tc>
      </w:tr>
      <w:tr w:rsidR="00390523" w:rsidRPr="00913CFB" w:rsidTr="00913CFB">
        <w:trPr>
          <w:trHeight w:val="223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t>5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  <w:rPr>
                <w:b/>
              </w:rPr>
            </w:pPr>
            <w:r w:rsidRPr="00913CFB">
              <w:rPr>
                <w:rFonts w:eastAsia="Calibri"/>
                <w:b/>
              </w:rPr>
              <w:t>Flora ocrotită din diferite zone geografice și integrarea rezultatelor în procesul didactic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Chifu, T., (coord.), 2001 – </w:t>
            </w:r>
            <w:r w:rsidRPr="00913CFB">
              <w:rPr>
                <w:i/>
              </w:rPr>
              <w:t>Botanică sistematic</w:t>
            </w:r>
            <w:r w:rsidRPr="00913CFB">
              <w:rPr>
                <w:i/>
              </w:rPr>
              <w:t>ă, Cormobionta</w:t>
            </w:r>
            <w:r w:rsidRPr="00913CFB">
              <w:t>, Ed. Univ. „Al. Ioan Cuza”, Iaşi;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Ciocârlan, V., 2009 - </w:t>
            </w:r>
            <w:r w:rsidRPr="00913CFB">
              <w:rPr>
                <w:i/>
              </w:rPr>
              <w:t>Flora ilustrată a României</w:t>
            </w:r>
            <w:r w:rsidRPr="00913CFB">
              <w:t>, Ed. Ceres, București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Săvulescu, T., Pop, E., coord., 1952 – 1972 - </w:t>
            </w:r>
            <w:r w:rsidRPr="00913CFB">
              <w:rPr>
                <w:i/>
              </w:rPr>
              <w:t>Flora R.P.R. – R.S.R.</w:t>
            </w:r>
            <w:r w:rsidRPr="00913CFB">
              <w:t>, Editura Academiei R.P.R. R.S.R, Bucureşti.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Primack, R B. et al., 20</w:t>
            </w:r>
            <w:r w:rsidRPr="00913CFB">
              <w:t xml:space="preserve">08  - </w:t>
            </w:r>
            <w:r w:rsidRPr="00913CFB">
              <w:rPr>
                <w:i/>
              </w:rPr>
              <w:t>Fundamentele conservării diversităţii biologice</w:t>
            </w:r>
            <w:r w:rsidRPr="00913CFB">
              <w:t>. Ed. AGIR, Bucureşti.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Mohan, Gh., Ardelean, A., 1993, </w:t>
            </w:r>
            <w:r w:rsidRPr="00913CFB">
              <w:rPr>
                <w:i/>
              </w:rPr>
              <w:t>Ecologie și protecția mediului</w:t>
            </w:r>
            <w:r w:rsidRPr="00913CFB">
              <w:t>, Editura Scaiul, București</w:t>
            </w:r>
          </w:p>
        </w:tc>
      </w:tr>
      <w:tr w:rsidR="00390523" w:rsidRPr="00913CFB" w:rsidTr="00913CFB">
        <w:trPr>
          <w:trHeight w:val="232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t>6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  <w:rPr>
                <w:rFonts w:eastAsia="Calibri"/>
                <w:b/>
              </w:rPr>
            </w:pPr>
            <w:r w:rsidRPr="00913CFB">
              <w:rPr>
                <w:rFonts w:eastAsia="Calibri"/>
                <w:b/>
              </w:rPr>
              <w:t>Flora decorativă din diferite zone geografice și posibilități de utilizare a acesteia în procesul didactic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Chifu, T., (coord.), 2001 – </w:t>
            </w:r>
            <w:r w:rsidRPr="00913CFB">
              <w:rPr>
                <w:i/>
              </w:rPr>
              <w:t>Botanică sistematică, Cormobionta</w:t>
            </w:r>
            <w:r w:rsidRPr="00913CFB">
              <w:t>, Ed. Univ. „Al. Ioan Cuza”, Iaşi;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Ciocârlan, V., 2009 - </w:t>
            </w:r>
            <w:r w:rsidRPr="00913CFB">
              <w:rPr>
                <w:i/>
              </w:rPr>
              <w:t>Flora ilustrată a României</w:t>
            </w:r>
            <w:r w:rsidRPr="00913CFB">
              <w:t>, Ed. Ceres, București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Săvulescu, T., Pop, E., coord., 1952 – 1972 - </w:t>
            </w:r>
            <w:r w:rsidRPr="00913CFB">
              <w:rPr>
                <w:i/>
              </w:rPr>
              <w:t>Flora R.P.R. – R.S.R.</w:t>
            </w:r>
            <w:r w:rsidRPr="00913CFB">
              <w:t>, Editura Academiei R.P.R. R.S.R, Bucureşti.</w:t>
            </w:r>
            <w:bookmarkStart w:id="1" w:name="_GoBack"/>
            <w:bookmarkEnd w:id="1"/>
          </w:p>
        </w:tc>
      </w:tr>
      <w:tr w:rsidR="00390523" w:rsidRPr="00913CFB" w:rsidTr="00913CFB">
        <w:trPr>
          <w:trHeight w:val="106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lastRenderedPageBreak/>
              <w:t>7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hanging="2"/>
              <w:jc w:val="both"/>
              <w:rPr>
                <w:rFonts w:eastAsia="Calibri"/>
                <w:b/>
              </w:rPr>
            </w:pPr>
            <w:r w:rsidRPr="00913CFB">
              <w:rPr>
                <w:rFonts w:eastAsia="Calibri"/>
                <w:b/>
              </w:rPr>
              <w:t>Flora și vegetația din diferite zone geografice și integrarea rezultatelor în procesul didactic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>Chifu, T., (coord.),</w:t>
            </w:r>
            <w:r w:rsidRPr="00913CFB">
              <w:t xml:space="preserve"> 2001 – </w:t>
            </w:r>
            <w:r w:rsidRPr="00913CFB">
              <w:rPr>
                <w:i/>
              </w:rPr>
              <w:t>Botanică sistematică, Cormobionta</w:t>
            </w:r>
            <w:r w:rsidRPr="00913CFB">
              <w:t>, Ed. Univ. „Al. Ioan Cuza”, Iaşi;</w:t>
            </w:r>
          </w:p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 xml:space="preserve">Ciocârlan, V., 2009 - </w:t>
            </w:r>
            <w:r w:rsidRPr="00913CFB">
              <w:rPr>
                <w:i/>
              </w:rPr>
              <w:t>Flora ilustrată a României</w:t>
            </w:r>
            <w:r w:rsidRPr="00913CFB">
              <w:t>, Ed. Ceres, București</w:t>
            </w:r>
          </w:p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 xml:space="preserve">Săvulescu, T., Pop, E., coord., 1952 – 1972 - </w:t>
            </w:r>
            <w:r w:rsidRPr="00913CFB">
              <w:rPr>
                <w:i/>
              </w:rPr>
              <w:t>Flora R.P.R. – R.S.R.,</w:t>
            </w:r>
            <w:r w:rsidRPr="00913CFB">
              <w:t xml:space="preserve"> Editura Academiei R.P.R. R.S.R, Bucureşt</w:t>
            </w:r>
            <w:r w:rsidRPr="00913CFB">
              <w:t>i.</w:t>
            </w:r>
          </w:p>
        </w:tc>
      </w:tr>
      <w:tr w:rsidR="00390523" w:rsidRPr="00913CFB" w:rsidTr="00913CFB">
        <w:trPr>
          <w:trHeight w:val="4789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t>8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hanging="2"/>
              <w:jc w:val="both"/>
              <w:rPr>
                <w:rFonts w:eastAsia="Calibri"/>
                <w:b/>
              </w:rPr>
            </w:pPr>
            <w:r w:rsidRPr="00913CFB">
              <w:rPr>
                <w:rFonts w:eastAsia="Calibri"/>
                <w:b/>
              </w:rPr>
              <w:t>Comunități de alge din diferite corpuri de apă și utilizarea rezultatelor în procesul didactic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 xml:space="preserve">Dragoş, N., (coord.), 1997 – </w:t>
            </w:r>
            <w:r w:rsidRPr="00913CFB">
              <w:rPr>
                <w:i/>
              </w:rPr>
              <w:t>An Introduction To The Algae And Culture Collection Of Algae</w:t>
            </w:r>
            <w:r w:rsidRPr="00913CFB">
              <w:t>, Cluj University Press, Cluj-Napoca;</w:t>
            </w:r>
          </w:p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>Krammer K., 2000 - The Gen</w:t>
            </w:r>
            <w:r w:rsidRPr="00913CFB">
              <w:t xml:space="preserve">us Pinnularia. In: </w:t>
            </w:r>
            <w:r w:rsidRPr="00913CFB">
              <w:rPr>
                <w:i/>
              </w:rPr>
              <w:t>Diatoms of Europe – Diatoms of the European Inland Waters and Comparable Habitats</w:t>
            </w:r>
            <w:r w:rsidRPr="00913CFB">
              <w:t>. Lange-Bertalot H. (ed.), vol. 1, Gantner Verlag, Ruggel.</w:t>
            </w:r>
          </w:p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 xml:space="preserve">Krammer K., 2002 - The Genus Cymbella. In: </w:t>
            </w:r>
            <w:r w:rsidRPr="00913CFB">
              <w:rPr>
                <w:i/>
              </w:rPr>
              <w:t>Diatoms of Europe – Diatoms of the European Inland Wat</w:t>
            </w:r>
            <w:r w:rsidRPr="00913CFB">
              <w:rPr>
                <w:i/>
              </w:rPr>
              <w:t>ers and Comparable Habitats</w:t>
            </w:r>
            <w:r w:rsidRPr="00913CFB">
              <w:t>. Lange-Bertalot H. (ed.), vol. 3, Gantner Verlag, Ruggel.</w:t>
            </w:r>
          </w:p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 xml:space="preserve">Krammer K., 2003 - The Genus Cymbopleura, Delicata, Navicymbella, Gomphocymbellopsis, Afrocymbella. In: </w:t>
            </w:r>
            <w:r w:rsidRPr="00913CFB">
              <w:rPr>
                <w:i/>
              </w:rPr>
              <w:t>Diatoms of Europe – Diatoms of the European Inland Waters and Comp</w:t>
            </w:r>
            <w:r w:rsidRPr="00913CFB">
              <w:rPr>
                <w:i/>
              </w:rPr>
              <w:t>arable Habitats</w:t>
            </w:r>
            <w:r w:rsidRPr="00913CFB">
              <w:t>. Lange-Bertalot H. (ed.), vol. 4, Gantner Verlag, Ruggel.</w:t>
            </w:r>
          </w:p>
          <w:p w:rsidR="00390523" w:rsidRPr="00913CFB" w:rsidRDefault="000A0CDF" w:rsidP="00913CFB">
            <w:pPr>
              <w:keepNext/>
              <w:ind w:hanging="2"/>
              <w:jc w:val="both"/>
            </w:pPr>
            <w:r w:rsidRPr="00913CFB">
              <w:t xml:space="preserve">Lange-Bertalot H., 2001 - Navicula Sensu Stricto. 10 Genera Separated From Navicula Sensu Lato. Frustulia. In: </w:t>
            </w:r>
            <w:r w:rsidRPr="00913CFB">
              <w:rPr>
                <w:i/>
              </w:rPr>
              <w:t>Diatoms of Europe – Diatoms of the European Inland Waters and Comparable Habitats</w:t>
            </w:r>
            <w:r w:rsidRPr="00913CFB">
              <w:t>. Lange-Bertalot H. (ed.), vol. 2, Gantner Verlag, Ruggel.</w:t>
            </w:r>
          </w:p>
        </w:tc>
      </w:tr>
      <w:tr w:rsidR="00390523" w:rsidRPr="00913CFB" w:rsidTr="00913CFB">
        <w:trPr>
          <w:trHeight w:val="133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t>9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  <w:rPr>
                <w:rFonts w:eastAsia="Calibri"/>
                <w:b/>
              </w:rPr>
            </w:pPr>
            <w:r w:rsidRPr="00913CFB">
              <w:rPr>
                <w:rFonts w:eastAsia="Calibri"/>
                <w:b/>
              </w:rPr>
              <w:t>Studiul lichenilor din diferite zone geografice și integrarea rezultatelor în procesul didactic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Kremer, B., Muh</w:t>
            </w:r>
            <w:r w:rsidRPr="00913CFB">
              <w:t xml:space="preserve">le, H., - 1991 - </w:t>
            </w:r>
            <w:r w:rsidRPr="00913CFB">
              <w:rPr>
                <w:i/>
              </w:rPr>
              <w:t>Flechten, Moose, Farne</w:t>
            </w:r>
            <w:r w:rsidRPr="00913CFB">
              <w:t>, Mosaic Verlag, München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Pătruţ, D. I., 2004 – </w:t>
            </w:r>
            <w:r w:rsidRPr="00913CFB">
              <w:rPr>
                <w:i/>
              </w:rPr>
              <w:t>Botanică sistematică, Thallobionta et Bryobionta</w:t>
            </w:r>
            <w:r w:rsidRPr="00913CFB">
              <w:t>, Ed. Aprilia Print, Timişoara;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Pârvu, M., - 2007 - </w:t>
            </w:r>
            <w:r w:rsidRPr="00913CFB">
              <w:rPr>
                <w:i/>
              </w:rPr>
              <w:t>Ghid practic de micologie</w:t>
            </w:r>
            <w:r w:rsidRPr="00913CFB">
              <w:t>, Ed. Casa Cărţii de Ştiinţă, Cluj-Napoca.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>Pâ</w:t>
            </w:r>
            <w:r w:rsidRPr="00913CFB">
              <w:t xml:space="preserve">rvu, M., 2003 – </w:t>
            </w:r>
            <w:r w:rsidRPr="00913CFB">
              <w:rPr>
                <w:i/>
              </w:rPr>
              <w:t>Botanică sistematică I</w:t>
            </w:r>
            <w:r w:rsidRPr="00913CFB">
              <w:t>, Ed. Gloria, Cluj-Napoca;</w:t>
            </w:r>
          </w:p>
        </w:tc>
      </w:tr>
      <w:tr w:rsidR="00390523" w:rsidRPr="00913CFB" w:rsidTr="00913CFB">
        <w:trPr>
          <w:trHeight w:val="1243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913CFB" w:rsidP="00913CFB">
            <w:pPr>
              <w:keepNext/>
              <w:ind w:hanging="2"/>
              <w:jc w:val="both"/>
            </w:pPr>
            <w:r>
              <w:t>10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  <w:rPr>
                <w:rFonts w:eastAsia="Calibri"/>
                <w:b/>
              </w:rPr>
            </w:pPr>
            <w:r w:rsidRPr="00913CFB">
              <w:rPr>
                <w:rFonts w:eastAsia="Calibri"/>
                <w:b/>
              </w:rPr>
              <w:t>Studiul ciupercilor macromicete din diferite zone geografice și utilizarea rezultatelor în procesul didactic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Pătruţ, D. I., 2004 – </w:t>
            </w:r>
            <w:r w:rsidRPr="00913CFB">
              <w:rPr>
                <w:i/>
              </w:rPr>
              <w:t>Botanică sistematică, Thallobionta et Bryobionta</w:t>
            </w:r>
            <w:r w:rsidRPr="00913CFB">
              <w:t>, Ed. A</w:t>
            </w:r>
            <w:r w:rsidRPr="00913CFB">
              <w:t>prilia Print, Timişoara;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Pârvu, M., - 2007 - </w:t>
            </w:r>
            <w:r w:rsidRPr="00913CFB">
              <w:rPr>
                <w:i/>
              </w:rPr>
              <w:t>Ghid practic de micologie</w:t>
            </w:r>
            <w:r w:rsidRPr="00913CFB">
              <w:t>, Ed. Casa Cărţii de Ştiinţă, Cluj-Napoca.</w:t>
            </w:r>
          </w:p>
          <w:p w:rsidR="00390523" w:rsidRPr="00913CFB" w:rsidRDefault="000A0CDF" w:rsidP="00913CFB">
            <w:pPr>
              <w:keepNext/>
              <w:ind w:firstLine="0"/>
              <w:jc w:val="both"/>
            </w:pPr>
            <w:r w:rsidRPr="00913CFB">
              <w:t xml:space="preserve">Pârvu, M., 2003 – </w:t>
            </w:r>
            <w:r w:rsidRPr="00913CFB">
              <w:rPr>
                <w:i/>
              </w:rPr>
              <w:t>Botanică sistematică I</w:t>
            </w:r>
            <w:r w:rsidRPr="00913CFB">
              <w:t>, Ed. Gloria, Cluj-Napoca;</w:t>
            </w:r>
          </w:p>
        </w:tc>
      </w:tr>
    </w:tbl>
    <w:p w:rsidR="00390523" w:rsidRPr="00913CFB" w:rsidRDefault="00390523" w:rsidP="00913CFB">
      <w:pPr>
        <w:keepNext/>
        <w:ind w:hanging="2"/>
        <w:rPr>
          <w:sz w:val="20"/>
          <w:szCs w:val="20"/>
        </w:rPr>
      </w:pPr>
    </w:p>
    <w:sectPr w:rsidR="00390523" w:rsidRPr="00913CFB">
      <w:headerReference w:type="default" r:id="rId10"/>
      <w:footerReference w:type="default" r:id="rId11"/>
      <w:pgSz w:w="11906" w:h="16838"/>
      <w:pgMar w:top="1699" w:right="1440" w:bottom="1555" w:left="1440" w:header="446" w:footer="2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DF" w:rsidRDefault="000A0CDF">
      <w:r>
        <w:separator/>
      </w:r>
    </w:p>
  </w:endnote>
  <w:endnote w:type="continuationSeparator" w:id="0">
    <w:p w:rsidR="000A0CDF" w:rsidRDefault="000A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23" w:rsidRDefault="00390523">
    <w:pPr>
      <w:pBdr>
        <w:top w:val="nil"/>
        <w:left w:val="nil"/>
        <w:bottom w:val="nil"/>
        <w:right w:val="nil"/>
        <w:between w:val="nil"/>
      </w:pBdr>
      <w:ind w:hanging="2"/>
      <w:rPr>
        <w:rFonts w:ascii="Arial Narrow" w:eastAsia="Arial Narrow" w:hAnsi="Arial Narrow" w:cs="Arial Narrow"/>
        <w:color w:val="FFC000"/>
      </w:rPr>
    </w:pPr>
  </w:p>
  <w:p w:rsidR="00390523" w:rsidRDefault="000A0CDF">
    <w:pPr>
      <w:ind w:right="-158" w:hanging="2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592.303      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-317499</wp:posOffset>
              </wp:positionV>
              <wp:extent cx="4080510" cy="8502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5270" y="3364393"/>
                        <a:ext cx="4061460" cy="831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390523" w:rsidRDefault="000A0CDF">
                          <w:pPr>
                            <w:ind w:right="-158" w:hanging="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>B-dul Vasile Pârvan, Nr. 4, Cam. 226, 300223 Timişoara,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 xml:space="preserve"> </w:t>
                          </w:r>
                        </w:p>
                        <w:p w:rsidR="00390523" w:rsidRDefault="000A0CDF">
                          <w:pPr>
                            <w:ind w:right="-158" w:hanging="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7"/>
                            </w:rPr>
                            <w:t xml:space="preserve">Tel.: +4 0256-592.106 (Director), +4 0256-592.151 (Secretariat), Fax: +4 0256-592.360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17"/>
                            </w:rPr>
                            <w:t>.</w:t>
                          </w:r>
                        </w:p>
                        <w:p w:rsidR="00390523" w:rsidRDefault="000A0CDF">
                          <w:pPr>
                            <w:ind w:right="-158" w:hanging="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  <w:sz w:val="20"/>
                            </w:rPr>
                            <w:t>www.dppd.uvt.ro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390523" w:rsidRDefault="000A0CDF">
                          <w:pPr>
                            <w:ind w:right="-158" w:hanging="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390523" w:rsidRDefault="00390523">
                          <w:pPr>
                            <w:ind w:hanging="2"/>
                            <w:textDirection w:val="btLr"/>
                          </w:pPr>
                        </w:p>
                        <w:p w:rsidR="00390523" w:rsidRDefault="00390523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1206500</wp:posOffset>
              </wp:positionH>
              <wp:positionV relativeFrom="paragraph">
                <wp:posOffset>-317499</wp:posOffset>
              </wp:positionV>
              <wp:extent cx="4080510" cy="85026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80510" cy="8502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5416550</wp:posOffset>
          </wp:positionH>
          <wp:positionV relativeFrom="paragraph">
            <wp:posOffset>-258443</wp:posOffset>
          </wp:positionV>
          <wp:extent cx="741045" cy="40449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9983" b="17146"/>
                  <a:stretch>
                    <a:fillRect/>
                  </a:stretch>
                </pic:blipFill>
                <pic:spPr>
                  <a:xfrm>
                    <a:off x="0" y="0"/>
                    <a:ext cx="741045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0523" w:rsidRDefault="000A0CDF">
    <w:pPr>
      <w:ind w:right="-158" w:hanging="2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:rsidR="00390523" w:rsidRDefault="000A0CDF">
    <w:pPr>
      <w:ind w:right="-158" w:hanging="2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3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DF" w:rsidRDefault="000A0CDF">
      <w:r>
        <w:separator/>
      </w:r>
    </w:p>
  </w:footnote>
  <w:footnote w:type="continuationSeparator" w:id="0">
    <w:p w:rsidR="000A0CDF" w:rsidRDefault="000A0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23" w:rsidRDefault="000A0CDF">
    <w:pPr>
      <w:pBdr>
        <w:top w:val="nil"/>
        <w:left w:val="nil"/>
        <w:bottom w:val="nil"/>
        <w:right w:val="nil"/>
        <w:between w:val="nil"/>
      </w:pBdr>
      <w:ind w:right="-158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50800</wp:posOffset>
              </wp:positionV>
              <wp:extent cx="4013200" cy="55054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8925" y="3514253"/>
                        <a:ext cx="3994150" cy="53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90523" w:rsidRDefault="000A0CDF">
                          <w:pPr>
                            <w:ind w:right="-158" w:hanging="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MINISTERUL EDUCAŢIEI </w:t>
                          </w:r>
                        </w:p>
                        <w:p w:rsidR="00390523" w:rsidRDefault="000A0CDF">
                          <w:pPr>
                            <w:ind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I</w:t>
                          </w:r>
                        </w:p>
                        <w:p w:rsidR="00390523" w:rsidRDefault="000A0CDF">
                          <w:pPr>
                            <w:ind w:right="-158" w:hanging="2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16"/>
                            </w:rPr>
                            <w:t>DEPARTAMENTUL PENTRU PREGĂTIREA PERSONALULUI DIDACTIC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390523" w:rsidRDefault="00390523">
                          <w:pPr>
                            <w:ind w:right="-158" w:hanging="2"/>
                            <w:jc w:val="center"/>
                            <w:textDirection w:val="btLr"/>
                          </w:pPr>
                        </w:p>
                        <w:p w:rsidR="00390523" w:rsidRDefault="000A0CDF">
                          <w:pPr>
                            <w:ind w:left="1" w:right="-158" w:hanging="2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32"/>
                            </w:rPr>
                            <w:t xml:space="preserve"> </w:t>
                          </w:r>
                        </w:p>
                        <w:p w:rsidR="00390523" w:rsidRDefault="00390523">
                          <w:pPr>
                            <w:ind w:hanging="2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50800</wp:posOffset>
              </wp:positionV>
              <wp:extent cx="4013200" cy="55054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3200" cy="550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-468628</wp:posOffset>
          </wp:positionH>
          <wp:positionV relativeFrom="paragraph">
            <wp:posOffset>19050</wp:posOffset>
          </wp:positionV>
          <wp:extent cx="2311400" cy="5969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4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90523" w:rsidRDefault="00390523">
    <w:pPr>
      <w:pBdr>
        <w:top w:val="nil"/>
        <w:left w:val="nil"/>
        <w:bottom w:val="nil"/>
        <w:right w:val="nil"/>
        <w:between w:val="nil"/>
      </w:pBdr>
      <w:ind w:right="-158" w:hanging="2"/>
      <w:rPr>
        <w:color w:val="000000"/>
      </w:rPr>
    </w:pPr>
  </w:p>
  <w:p w:rsidR="00390523" w:rsidRDefault="000A0CDF">
    <w:pPr>
      <w:pBdr>
        <w:top w:val="nil"/>
        <w:left w:val="nil"/>
        <w:bottom w:val="nil"/>
        <w:right w:val="nil"/>
        <w:between w:val="nil"/>
      </w:pBdr>
      <w:ind w:right="-158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-42543</wp:posOffset>
          </wp:positionH>
          <wp:positionV relativeFrom="paragraph">
            <wp:posOffset>243840</wp:posOffset>
          </wp:positionV>
          <wp:extent cx="6176645" cy="3365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6645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55324"/>
    <w:multiLevelType w:val="multilevel"/>
    <w:tmpl w:val="84729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3"/>
    <w:rsid w:val="000A0CDF"/>
    <w:rsid w:val="00390523"/>
    <w:rsid w:val="0091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EB49"/>
  <w15:docId w15:val="{E1503D6C-2076-4F0A-BCA4-3D147393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ro-RO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Tahoma" w:eastAsia="Tahoma" w:hAnsi="Tahoma" w:cs="Tahoma"/>
      <w:b/>
      <w:color w:val="FFFFFF"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rPr>
      <w:b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am.info/ghid-de-evaluare-biologie-insam_59dfdff81723dd4f6c685f8b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ublication/235922087_Metode_didactice_in_predare_invatare_si_evaluare_la_Biologi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5MBLJZV9xmFrcc95RnZB/UagWQ==">CgMxLjAyCGguZ2pkZ3hzOAByITFZNmIxWDQ3M1dyc2FEMVBCZ3lVZGdMbTNfSmw2Nnc4dw==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861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2024-01-12T07:40:00Z</dcterms:created>
  <dcterms:modified xsi:type="dcterms:W3CDTF">2024-01-12T07:46:00Z</dcterms:modified>
</cp:coreProperties>
</file>