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2BBE" w14:textId="77777777" w:rsidR="00C06D54" w:rsidRPr="006353A7" w:rsidRDefault="00C06D54" w:rsidP="00C06D54">
      <w:pPr>
        <w:jc w:val="center"/>
        <w:rPr>
          <w:rFonts w:ascii="Calibri" w:hAnsi="Calibri" w:cs="Calibri"/>
          <w:b/>
          <w:lang w:eastAsia="en-US"/>
        </w:rPr>
      </w:pPr>
      <w:r w:rsidRPr="006353A7">
        <w:rPr>
          <w:rFonts w:ascii="Calibri" w:hAnsi="Calibri" w:cs="Calibri"/>
          <w:b/>
          <w:lang w:eastAsia="en-US"/>
        </w:rPr>
        <w:t>FIŞA DISCIPLINEI</w:t>
      </w:r>
    </w:p>
    <w:p w14:paraId="1E07D697" w14:textId="77777777" w:rsidR="00C06D54" w:rsidRPr="00AD793A" w:rsidRDefault="00C06D54" w:rsidP="00C06D54">
      <w:pPr>
        <w:numPr>
          <w:ilvl w:val="0"/>
          <w:numId w:val="26"/>
        </w:numPr>
        <w:spacing w:line="276" w:lineRule="auto"/>
        <w:ind w:left="714" w:hanging="357"/>
        <w:contextualSpacing/>
        <w:rPr>
          <w:rFonts w:ascii="Calibri" w:hAnsi="Calibri" w:cs="Calibri"/>
          <w:b/>
          <w:sz w:val="22"/>
          <w:szCs w:val="22"/>
          <w:lang w:eastAsia="en-US"/>
        </w:rPr>
      </w:pPr>
      <w:r w:rsidRPr="00AD793A">
        <w:rPr>
          <w:rFonts w:ascii="Calibri" w:hAnsi="Calibri" w:cs="Calibri"/>
          <w:b/>
          <w:sz w:val="22"/>
          <w:szCs w:val="22"/>
          <w:lang w:eastAsia="en-US"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C06D54" w:rsidRPr="00AD793A" w14:paraId="25EE931D" w14:textId="77777777" w:rsidTr="00AF79DA">
        <w:tc>
          <w:tcPr>
            <w:tcW w:w="1907" w:type="pct"/>
            <w:vAlign w:val="center"/>
          </w:tcPr>
          <w:p w14:paraId="2DC02C08" w14:textId="77777777" w:rsidR="00C06D54" w:rsidRPr="00AD793A" w:rsidRDefault="00C06D54" w:rsidP="00AF79DA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1.1. Instituţia de învăţământ superior</w:t>
            </w:r>
          </w:p>
        </w:tc>
        <w:tc>
          <w:tcPr>
            <w:tcW w:w="3093" w:type="pct"/>
            <w:vAlign w:val="center"/>
          </w:tcPr>
          <w:p w14:paraId="40660C31" w14:textId="77777777" w:rsidR="00C06D54" w:rsidRPr="00AD793A" w:rsidRDefault="00C06D54" w:rsidP="00AF79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UNIVERSITATEA DE VEST DIN TIMIȘOARA</w:t>
            </w:r>
          </w:p>
        </w:tc>
      </w:tr>
      <w:tr w:rsidR="00C06D54" w:rsidRPr="00AD793A" w14:paraId="516CFE9B" w14:textId="77777777" w:rsidTr="00AF79DA">
        <w:tc>
          <w:tcPr>
            <w:tcW w:w="1907" w:type="pct"/>
            <w:vAlign w:val="center"/>
          </w:tcPr>
          <w:p w14:paraId="4C8E74CF" w14:textId="77777777" w:rsidR="00C06D54" w:rsidRPr="00AD793A" w:rsidRDefault="00C06D54" w:rsidP="00AF79DA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102408A9" w14:textId="77777777" w:rsidR="00C06D54" w:rsidRPr="00AD793A" w:rsidRDefault="00C06D54" w:rsidP="00AF79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DEPARTAMENTUL PENTRU PREGĂTIREA PERSONALULUI DIDACTIC</w:t>
            </w:r>
          </w:p>
        </w:tc>
      </w:tr>
      <w:tr w:rsidR="00C06D54" w:rsidRPr="00AD793A" w14:paraId="1252E88A" w14:textId="77777777" w:rsidTr="00AF79DA">
        <w:tc>
          <w:tcPr>
            <w:tcW w:w="1907" w:type="pct"/>
            <w:vAlign w:val="center"/>
          </w:tcPr>
          <w:p w14:paraId="5D705786" w14:textId="77777777" w:rsidR="00C06D54" w:rsidRPr="00AD793A" w:rsidRDefault="00C06D54" w:rsidP="00AF79DA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1.3 Catedra</w:t>
            </w:r>
          </w:p>
        </w:tc>
        <w:tc>
          <w:tcPr>
            <w:tcW w:w="3093" w:type="pct"/>
            <w:vAlign w:val="center"/>
          </w:tcPr>
          <w:p w14:paraId="39DA9A01" w14:textId="77777777" w:rsidR="00C06D54" w:rsidRPr="00AD793A" w:rsidRDefault="00C06D54" w:rsidP="00AF79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06D54" w:rsidRPr="00AD793A" w14:paraId="666C2C75" w14:textId="77777777" w:rsidTr="00AF79DA">
        <w:tc>
          <w:tcPr>
            <w:tcW w:w="1907" w:type="pct"/>
            <w:vAlign w:val="center"/>
          </w:tcPr>
          <w:p w14:paraId="11AFB740" w14:textId="77777777" w:rsidR="00C06D54" w:rsidRPr="00AD793A" w:rsidRDefault="00C06D54" w:rsidP="00AF79DA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1D15BFCF" w14:textId="77777777" w:rsidR="00C06D54" w:rsidRPr="00AD793A" w:rsidRDefault="00C06D54" w:rsidP="00AF79DA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D793A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Științe ale educație</w:t>
            </w:r>
          </w:p>
        </w:tc>
      </w:tr>
      <w:tr w:rsidR="00C06D54" w:rsidRPr="00AD793A" w14:paraId="1A461B67" w14:textId="77777777" w:rsidTr="00AF79DA">
        <w:tc>
          <w:tcPr>
            <w:tcW w:w="1907" w:type="pct"/>
            <w:vAlign w:val="center"/>
          </w:tcPr>
          <w:p w14:paraId="5EF2708D" w14:textId="77777777" w:rsidR="00C06D54" w:rsidRPr="00AD793A" w:rsidRDefault="00C06D54" w:rsidP="00AF79DA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15D4A838" w14:textId="77777777" w:rsidR="00C06D54" w:rsidRPr="00AD793A" w:rsidRDefault="00C06D54" w:rsidP="00AF79DA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Master</w:t>
            </w:r>
          </w:p>
        </w:tc>
      </w:tr>
      <w:tr w:rsidR="00C06D54" w:rsidRPr="00AD793A" w14:paraId="71E76EBC" w14:textId="77777777" w:rsidTr="00AF79DA">
        <w:tc>
          <w:tcPr>
            <w:tcW w:w="1907" w:type="pct"/>
            <w:vAlign w:val="center"/>
          </w:tcPr>
          <w:p w14:paraId="0E95F498" w14:textId="77777777" w:rsidR="00C06D54" w:rsidRPr="00AD793A" w:rsidRDefault="00C06D54" w:rsidP="00AF79DA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29D52B36" w14:textId="77777777" w:rsidR="00C06D54" w:rsidRPr="00AD793A" w:rsidRDefault="00C06D54" w:rsidP="00AF79DA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D793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Master didactic </w:t>
            </w:r>
          </w:p>
        </w:tc>
      </w:tr>
    </w:tbl>
    <w:p w14:paraId="5690245F" w14:textId="77777777" w:rsidR="00C06D54" w:rsidRPr="00AD793A" w:rsidRDefault="00C06D54" w:rsidP="00C06D54">
      <w:pPr>
        <w:rPr>
          <w:rFonts w:ascii="Calibri" w:hAnsi="Calibri" w:cs="Calibri"/>
          <w:sz w:val="22"/>
          <w:szCs w:val="22"/>
          <w:lang w:eastAsia="en-US"/>
        </w:rPr>
      </w:pPr>
    </w:p>
    <w:p w14:paraId="72D036F0" w14:textId="77777777" w:rsidR="00C06D54" w:rsidRPr="00AD793A" w:rsidRDefault="00C06D54" w:rsidP="00C06D54">
      <w:pPr>
        <w:numPr>
          <w:ilvl w:val="0"/>
          <w:numId w:val="26"/>
        </w:numPr>
        <w:spacing w:line="276" w:lineRule="auto"/>
        <w:ind w:left="714" w:hanging="357"/>
        <w:contextualSpacing/>
        <w:rPr>
          <w:rFonts w:ascii="Calibri" w:hAnsi="Calibri" w:cs="Calibri"/>
          <w:b/>
          <w:sz w:val="22"/>
          <w:szCs w:val="22"/>
          <w:lang w:eastAsia="en-US"/>
        </w:rPr>
      </w:pPr>
      <w:r w:rsidRPr="00AD793A">
        <w:rPr>
          <w:rFonts w:ascii="Calibri" w:hAnsi="Calibri" w:cs="Calibri"/>
          <w:b/>
          <w:sz w:val="22"/>
          <w:szCs w:val="22"/>
          <w:lang w:eastAsia="en-US"/>
        </w:rPr>
        <w:t>Date despre disciplină</w:t>
      </w:r>
    </w:p>
    <w:p w14:paraId="38D87AA4" w14:textId="77777777" w:rsidR="00C06D54" w:rsidRPr="00AD793A" w:rsidRDefault="00C06D54" w:rsidP="00C06D54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6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747"/>
        <w:gridCol w:w="203"/>
        <w:gridCol w:w="315"/>
        <w:gridCol w:w="60"/>
        <w:gridCol w:w="1139"/>
        <w:gridCol w:w="400"/>
        <w:gridCol w:w="79"/>
        <w:gridCol w:w="201"/>
        <w:gridCol w:w="120"/>
        <w:gridCol w:w="146"/>
        <w:gridCol w:w="242"/>
        <w:gridCol w:w="1351"/>
        <w:gridCol w:w="6"/>
        <w:gridCol w:w="54"/>
        <w:gridCol w:w="6"/>
        <w:gridCol w:w="474"/>
        <w:gridCol w:w="6"/>
        <w:gridCol w:w="334"/>
        <w:gridCol w:w="6"/>
        <w:gridCol w:w="2032"/>
        <w:gridCol w:w="6"/>
        <w:gridCol w:w="74"/>
        <w:gridCol w:w="6"/>
        <w:gridCol w:w="54"/>
        <w:gridCol w:w="6"/>
        <w:gridCol w:w="533"/>
        <w:gridCol w:w="6"/>
        <w:gridCol w:w="24"/>
        <w:gridCol w:w="6"/>
      </w:tblGrid>
      <w:tr w:rsidR="00C06D54" w:rsidRPr="00AD793A" w14:paraId="5A71D792" w14:textId="77777777" w:rsidTr="00AF79DA">
        <w:trPr>
          <w:gridAfter w:val="1"/>
          <w:wAfter w:w="6" w:type="dxa"/>
          <w:trHeight w:val="266"/>
        </w:trPr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63E5BD5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F9CC12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2.1 Denumirea disciplinei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BAB41F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136" w:type="dxa"/>
            <w:gridSpan w:val="2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40DCB1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bCs/>
                <w:w w:val="97"/>
                <w:sz w:val="22"/>
                <w:szCs w:val="22"/>
                <w:lang w:eastAsia="en-US"/>
              </w:rPr>
              <w:t xml:space="preserve"> EDUCAȚIE INCLUZIVĂ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4F39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2317950A" w14:textId="77777777" w:rsidTr="00AF79DA">
        <w:trPr>
          <w:trHeight w:val="80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5C67F592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44D3B5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7A8F4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D7B6C5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8B4F7A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74BFB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EC3C8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DBE255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86D36A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6938C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B46875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1850D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E2C13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1C3FA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C2416E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55046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96F5E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47CE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12E8C5D8" w14:textId="77777777" w:rsidTr="00AF79DA">
        <w:trPr>
          <w:gridAfter w:val="1"/>
          <w:wAfter w:w="6" w:type="dxa"/>
          <w:trHeight w:val="263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5ABD572E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C6628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2.2 Titularul activităţilor de curs</w:t>
            </w:r>
          </w:p>
        </w:tc>
        <w:tc>
          <w:tcPr>
            <w:tcW w:w="307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BF3860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Lect. univ. dr. Claudia Borca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E29876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FFBBB0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D01A1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85C55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EF698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117B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3182A373" w14:textId="77777777" w:rsidTr="00AF79DA">
        <w:trPr>
          <w:gridAfter w:val="1"/>
          <w:wAfter w:w="6" w:type="dxa"/>
          <w:trHeight w:val="263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06FA9F94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C8956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2.3 Titularul activităţilor de seminar</w:t>
            </w:r>
          </w:p>
        </w:tc>
        <w:tc>
          <w:tcPr>
            <w:tcW w:w="307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1889C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Lect. univ. dr. Claudia Borca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6B613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7CD8A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90C44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C5CAE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06D3B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509B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2D88385C" w14:textId="77777777" w:rsidTr="00AF79DA">
        <w:trPr>
          <w:trHeight w:val="263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7BC530E4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F18AE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2.4 Anul de studiu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6B4F6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D13FAA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84272A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2.5 Semestrul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DF37E5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702A86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1C4AD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6F229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8F05E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2.6 Tipul de evaluare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E30D5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84B8C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B2484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2.7 Regimul disciplinei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8C4B72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374B5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PP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1932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5C9B20C2" w14:textId="77777777" w:rsidTr="00AF79DA">
        <w:trPr>
          <w:gridAfter w:val="1"/>
          <w:wAfter w:w="6" w:type="dxa"/>
          <w:trHeight w:val="51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6E36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4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FF422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3.  Timpul total estimat (ore pe semestru al activităţilor didactice)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5C23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9DB8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6BDE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113A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CA0E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480B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59D7B4E1" w14:textId="77777777" w:rsidTr="00AF79DA">
        <w:trPr>
          <w:gridAfter w:val="1"/>
          <w:wAfter w:w="6" w:type="dxa"/>
          <w:trHeight w:val="2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48D84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F5CF0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1423B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AB446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6CE9B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4F867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E78EA0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577DD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82B822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DEB7D5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3F4B2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3232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4A5C1F3E" w14:textId="77777777" w:rsidTr="00AF79DA">
        <w:trPr>
          <w:gridAfter w:val="1"/>
          <w:wAfter w:w="6" w:type="dxa"/>
          <w:trHeight w:val="2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2FA4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89184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3.1 Număr de ore pe săptămână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75B130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1B6444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E258C5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din care: 3.2 curs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74762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1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E48D80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3.3 seminar/laborator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156C92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F30DA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FC02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24413EFB" w14:textId="77777777" w:rsidTr="00AF79DA">
        <w:trPr>
          <w:gridAfter w:val="1"/>
          <w:wAfter w:w="6" w:type="dxa"/>
          <w:trHeight w:val="2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5D66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36DDA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3.4 Total ore din planul de învăţământ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E25A70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B43D72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A6388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din care: 3.5 curs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D42FB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14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369B86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3.6 seminar/laborator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F9580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B37B36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A789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2E17C0B7" w14:textId="77777777" w:rsidTr="00AF79DA">
        <w:trPr>
          <w:gridAfter w:val="1"/>
          <w:wAfter w:w="6" w:type="dxa"/>
          <w:trHeight w:val="2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9F2E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C88924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Distribuţia fondului de timp: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61CD6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12713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8E21D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B4632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4BF422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E17B9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4F356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BFCF2A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7B3A9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8312B5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71ACE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ore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208C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3EF56584" w14:textId="77777777" w:rsidTr="00AF79DA">
        <w:trPr>
          <w:gridAfter w:val="1"/>
          <w:wAfter w:w="6" w:type="dxa"/>
          <w:trHeight w:val="2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9011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65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BBB128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Studiul după manual, suport de curs, bibliografie şi notiţe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C218EA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427D15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C571A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A73C6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663E2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F2D514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E54365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75F7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7303A93D" w14:textId="77777777" w:rsidTr="00AF79DA">
        <w:trPr>
          <w:gridAfter w:val="1"/>
          <w:wAfter w:w="6" w:type="dxa"/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44F5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921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A4CD5E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Documentare suplimentară în bibliotecă, pe platformele electronice de specialitate / pe teren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67664A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CC083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4E075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28B239E6" w14:textId="77777777" w:rsidTr="00AF79DA">
        <w:trPr>
          <w:gridAfter w:val="1"/>
          <w:wAfter w:w="6" w:type="dxa"/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086F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3C6A19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Pregătire seminarii / laboratoare, teme, referate, portofolii şi eseuri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324BC5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91683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588AF5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D7A594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8110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0F8D914A" w14:textId="77777777" w:rsidTr="00AF79DA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3E5C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B73BAA0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Tutoriat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CB34B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B2FB5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6234B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8D3C14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469ED0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47595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3B5F4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C23C1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884BBE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CEAED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170B0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100FD2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BCF2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87836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C8FE0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5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5424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17639046" w14:textId="77777777" w:rsidTr="00AF79DA">
        <w:trPr>
          <w:trHeight w:val="2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B8D6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73BF012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Examinări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75CBF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1E8C0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EE1B4A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99E72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4659D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F0E17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07A9E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0E5B9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DD5534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1A6416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7E82A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67E2C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74453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8FFCB0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DDBE2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2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4022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084A37DB" w14:textId="77777777" w:rsidTr="00AF79DA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29BCE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640078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w w:val="97"/>
                <w:sz w:val="22"/>
                <w:szCs w:val="22"/>
                <w:lang w:eastAsia="en-US"/>
              </w:rPr>
              <w:t>Alte activităţi……………………………………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6D89C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4B78E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6AE99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8F7F5A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15561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94AB9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88782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76735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34B90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AA761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812D9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BDEC0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4353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320224F6" w14:textId="77777777" w:rsidTr="00AF79DA">
        <w:trPr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  <w:vAlign w:val="bottom"/>
          </w:tcPr>
          <w:p w14:paraId="224D7ADE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/>
            <w:vAlign w:val="bottom"/>
          </w:tcPr>
          <w:p w14:paraId="116F53DE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3.7 Total ore studiu individual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/>
            <w:vAlign w:val="bottom"/>
          </w:tcPr>
          <w:p w14:paraId="76F12E7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/>
            <w:vAlign w:val="bottom"/>
          </w:tcPr>
          <w:p w14:paraId="1D9125CA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vAlign w:val="bottom"/>
          </w:tcPr>
          <w:p w14:paraId="646368A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  <w:vAlign w:val="bottom"/>
          </w:tcPr>
          <w:p w14:paraId="54B2F0A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C7785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6129A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87C966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46572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8B1C6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CDB16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1C6EC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D37DE5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91A8B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65636F6B" w14:textId="77777777" w:rsidTr="00AF79DA">
        <w:trPr>
          <w:trHeight w:val="26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  <w:vAlign w:val="bottom"/>
          </w:tcPr>
          <w:p w14:paraId="1750B8DA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48A54"/>
            <w:vAlign w:val="bottom"/>
          </w:tcPr>
          <w:p w14:paraId="0ED0419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3.8 Total ore pe semestru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vAlign w:val="bottom"/>
          </w:tcPr>
          <w:p w14:paraId="6671E346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/>
            <w:vAlign w:val="bottom"/>
          </w:tcPr>
          <w:p w14:paraId="3A28D9F5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/>
            <w:vAlign w:val="bottom"/>
          </w:tcPr>
          <w:p w14:paraId="4C3E6A90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vAlign w:val="bottom"/>
          </w:tcPr>
          <w:p w14:paraId="118AF8F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  <w:vAlign w:val="bottom"/>
          </w:tcPr>
          <w:p w14:paraId="1B7F0A95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C5B59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D45C4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E5553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0383D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E4A91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36B73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204C44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1AB3E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739D3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76B9CFA0" w14:textId="77777777" w:rsidTr="00AF79DA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  <w:vAlign w:val="bottom"/>
          </w:tcPr>
          <w:p w14:paraId="32B6424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48A54"/>
            <w:vAlign w:val="bottom"/>
          </w:tcPr>
          <w:p w14:paraId="151A431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3.9 Numărul de credite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vAlign w:val="bottom"/>
          </w:tcPr>
          <w:p w14:paraId="2B8B946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/>
            <w:vAlign w:val="bottom"/>
          </w:tcPr>
          <w:p w14:paraId="24C91A3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/>
            <w:vAlign w:val="bottom"/>
          </w:tcPr>
          <w:p w14:paraId="51FFB846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/>
            <w:vAlign w:val="bottom"/>
          </w:tcPr>
          <w:p w14:paraId="5A4D3EC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948A54"/>
            <w:vAlign w:val="bottom"/>
          </w:tcPr>
          <w:p w14:paraId="606E40F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BF3A6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30E9E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8ACE6A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1D88F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1CE22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1D756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2E75FE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716F3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C5221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316ACFEA" w14:textId="77777777" w:rsidTr="00AF79DA">
        <w:trPr>
          <w:gridAfter w:val="2"/>
          <w:wAfter w:w="30" w:type="dxa"/>
          <w:trHeight w:val="52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F365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3B1BE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24B6AA94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EBAC07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4.  Precondiţii (acolo unde este cazul)</w:t>
            </w:r>
          </w:p>
          <w:p w14:paraId="2D7660C2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2AD1FBE2" w14:textId="77777777" w:rsidTr="00AF79DA">
        <w:trPr>
          <w:trHeight w:val="28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B70AE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29A03A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F48AE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82158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81238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3BD3B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361B1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BA857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9E2775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5C5A1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F9131A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5E91C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0A73A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02AB26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6CAB7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FAEC3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43E63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E3EB0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D437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6A2A911C" w14:textId="77777777" w:rsidTr="00AF79DA">
        <w:trPr>
          <w:trHeight w:val="263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54B8C3C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3C59E0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4.1 de curriculum</w:t>
            </w:r>
          </w:p>
        </w:tc>
        <w:tc>
          <w:tcPr>
            <w:tcW w:w="7656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50CE60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AD793A">
              <w:rPr>
                <w:rFonts w:ascii="Calibri" w:hAnsi="Calibri" w:cs="Calibri"/>
                <w:i/>
                <w:sz w:val="22"/>
                <w:szCs w:val="22"/>
              </w:rPr>
              <w:t>Pedagogie: teorii și practici</w:t>
            </w:r>
          </w:p>
          <w:p w14:paraId="0C0A173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AD793A">
              <w:rPr>
                <w:rFonts w:ascii="Calibri" w:hAnsi="Calibri" w:cs="Calibri"/>
                <w:i/>
                <w:sz w:val="22"/>
                <w:szCs w:val="22"/>
              </w:rPr>
              <w:t>Psihologia educației</w:t>
            </w:r>
          </w:p>
          <w:p w14:paraId="7A294064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AD793A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Curriculum școlar și dezvoltare curriculară</w:t>
            </w:r>
          </w:p>
          <w:p w14:paraId="1B982B00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Designul instruirii și teoriile învățării</w:t>
            </w: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65D6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0EFD72FE" w14:textId="77777777" w:rsidTr="00AF79DA">
        <w:trPr>
          <w:gridAfter w:val="1"/>
          <w:wAfter w:w="6" w:type="dxa"/>
          <w:trHeight w:val="24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7E0DC4B2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13FE596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4.2 de competenţe</w:t>
            </w:r>
          </w:p>
        </w:tc>
        <w:tc>
          <w:tcPr>
            <w:tcW w:w="7650" w:type="dxa"/>
            <w:gridSpan w:val="2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B578E5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Analiza elementelor structurale ale curriculumului</w:t>
            </w:r>
          </w:p>
          <w:p w14:paraId="28FBD01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Proiectarea curriculară</w:t>
            </w:r>
          </w:p>
          <w:p w14:paraId="5F6B805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Microproiectarea activităților didactice.  </w:t>
            </w:r>
          </w:p>
          <w:p w14:paraId="3A28407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Dezvoltarea curriculară: modele de dezvoltare curriculară</w:t>
            </w:r>
          </w:p>
          <w:p w14:paraId="353EA09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Explicarea modelelor de design al instruirii </w:t>
            </w: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EA304D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5BDD6E95" w14:textId="77777777" w:rsidTr="00AF79DA">
        <w:trPr>
          <w:gridAfter w:val="1"/>
          <w:wAfter w:w="6" w:type="dxa"/>
          <w:trHeight w:val="280"/>
        </w:trPr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2C31274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BDBB8A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650" w:type="dxa"/>
            <w:gridSpan w:val="2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D0A60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87E2EF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58E83FB1" w14:textId="77777777" w:rsidR="00C06D54" w:rsidRPr="00AD793A" w:rsidRDefault="00C06D54" w:rsidP="00C06D54">
      <w:pPr>
        <w:contextualSpacing/>
        <w:rPr>
          <w:rFonts w:ascii="Calibri" w:hAnsi="Calibri" w:cs="Calibri"/>
          <w:sz w:val="22"/>
          <w:szCs w:val="22"/>
          <w:lang w:eastAsia="en-US"/>
        </w:rPr>
      </w:pPr>
    </w:p>
    <w:p w14:paraId="60E042EA" w14:textId="77777777" w:rsidR="00C06D54" w:rsidRPr="00AD793A" w:rsidRDefault="00C06D54" w:rsidP="00C06D54">
      <w:pPr>
        <w:ind w:left="720"/>
        <w:contextualSpacing/>
        <w:rPr>
          <w:rFonts w:ascii="Calibri" w:hAnsi="Calibri" w:cs="Calibri"/>
          <w:sz w:val="22"/>
          <w:szCs w:val="22"/>
          <w:lang w:eastAsia="en-US"/>
        </w:rPr>
      </w:pPr>
    </w:p>
    <w:p w14:paraId="1673EE24" w14:textId="77777777" w:rsidR="00C06D54" w:rsidRPr="00AD793A" w:rsidRDefault="00C06D54" w:rsidP="00C06D54">
      <w:pPr>
        <w:numPr>
          <w:ilvl w:val="0"/>
          <w:numId w:val="31"/>
        </w:numPr>
        <w:spacing w:line="276" w:lineRule="auto"/>
        <w:contextualSpacing/>
        <w:rPr>
          <w:rFonts w:ascii="Calibri" w:hAnsi="Calibri" w:cs="Calibri"/>
          <w:b/>
          <w:sz w:val="22"/>
          <w:szCs w:val="22"/>
          <w:lang w:eastAsia="en-US"/>
        </w:rPr>
      </w:pPr>
      <w:r w:rsidRPr="00AD793A">
        <w:rPr>
          <w:rFonts w:ascii="Calibri" w:hAnsi="Calibri" w:cs="Calibri"/>
          <w:b/>
          <w:sz w:val="22"/>
          <w:szCs w:val="22"/>
          <w:lang w:eastAsia="en-US"/>
        </w:rPr>
        <w:t>Condiţii (acolo unde este cazul)</w:t>
      </w:r>
    </w:p>
    <w:tbl>
      <w:tblPr>
        <w:tblW w:w="96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0"/>
        <w:gridCol w:w="5502"/>
      </w:tblGrid>
      <w:tr w:rsidR="00C06D54" w:rsidRPr="00AD793A" w14:paraId="6705E00F" w14:textId="77777777" w:rsidTr="006353A7">
        <w:trPr>
          <w:trHeight w:val="2470"/>
        </w:trPr>
        <w:tc>
          <w:tcPr>
            <w:tcW w:w="4160" w:type="dxa"/>
          </w:tcPr>
          <w:p w14:paraId="78839A77" w14:textId="77777777" w:rsidR="00C06D54" w:rsidRPr="00AD793A" w:rsidRDefault="00C06D54" w:rsidP="00AF79DA">
            <w:pPr>
              <w:pStyle w:val="NoSpacing"/>
              <w:spacing w:line="360" w:lineRule="auto"/>
              <w:rPr>
                <w:rFonts w:cs="Calibri"/>
                <w:lang w:val="ro-RO"/>
              </w:rPr>
            </w:pPr>
            <w:r w:rsidRPr="00AD793A">
              <w:rPr>
                <w:rFonts w:cs="Calibri"/>
                <w:lang w:val="ro-RO"/>
              </w:rPr>
              <w:t>5.1 de desfăşurare a cursului</w:t>
            </w:r>
          </w:p>
        </w:tc>
        <w:tc>
          <w:tcPr>
            <w:tcW w:w="5502" w:type="dxa"/>
          </w:tcPr>
          <w:p w14:paraId="6BC9BAB1" w14:textId="77777777" w:rsidR="00C06D54" w:rsidRPr="00AD793A" w:rsidRDefault="00C06D54" w:rsidP="00C06D54">
            <w:pPr>
              <w:pStyle w:val="NoSpacing"/>
              <w:numPr>
                <w:ilvl w:val="0"/>
                <w:numId w:val="28"/>
              </w:numPr>
              <w:ind w:left="0" w:firstLine="0"/>
              <w:jc w:val="both"/>
              <w:rPr>
                <w:rFonts w:cs="Calibri"/>
                <w:lang w:val="ro-RO"/>
              </w:rPr>
            </w:pPr>
            <w:r w:rsidRPr="00AD793A">
              <w:rPr>
                <w:rFonts w:cs="Calibri"/>
                <w:lang w:val="ro-RO"/>
              </w:rPr>
              <w:t>Materiale didactice adaptate pentru studenţii cu dizabilităţi vizuale – cu fonturi mai mari sau Braille.</w:t>
            </w:r>
          </w:p>
          <w:p w14:paraId="350C150F" w14:textId="77777777" w:rsidR="00C06D54" w:rsidRPr="00AD793A" w:rsidRDefault="00C06D54" w:rsidP="00C06D54">
            <w:pPr>
              <w:pStyle w:val="NoSpacing"/>
              <w:numPr>
                <w:ilvl w:val="0"/>
                <w:numId w:val="28"/>
              </w:numPr>
              <w:ind w:left="0" w:firstLine="0"/>
              <w:jc w:val="both"/>
              <w:rPr>
                <w:rFonts w:cs="Calibri"/>
                <w:lang w:val="ro-RO"/>
              </w:rPr>
            </w:pPr>
            <w:r w:rsidRPr="00AD793A">
              <w:rPr>
                <w:rFonts w:cs="Calibri"/>
                <w:lang w:val="ro-RO"/>
              </w:rPr>
              <w:t>Desfăşurarea cursului într-o locaţie accesibilă pentru studenții cu deficiență neuromotorie – cu rampă de acces, la parter, sau cu acces la lift.</w:t>
            </w:r>
          </w:p>
          <w:p w14:paraId="2B90A490" w14:textId="77777777" w:rsidR="00C06D54" w:rsidRPr="00AD793A" w:rsidRDefault="00C06D54" w:rsidP="00C06D54">
            <w:pPr>
              <w:pStyle w:val="NoSpacing"/>
              <w:numPr>
                <w:ilvl w:val="0"/>
                <w:numId w:val="28"/>
              </w:numPr>
              <w:ind w:left="0" w:firstLine="0"/>
              <w:jc w:val="both"/>
              <w:rPr>
                <w:rFonts w:cs="Calibri"/>
                <w:lang w:val="ro-RO"/>
              </w:rPr>
            </w:pPr>
            <w:r w:rsidRPr="00AD793A">
              <w:rPr>
                <w:rFonts w:cs="Calibri"/>
                <w:lang w:val="ro-RO"/>
              </w:rPr>
              <w:t>Înregistrarea live pe reportofon a prelegerii profesorului şi oferirea înregistrării pentru studenţii cu dizabilităţi vizuale şi a celor cu condiţii medicale dizabilitante, care nu pot veni fizic la curs.</w:t>
            </w:r>
          </w:p>
        </w:tc>
      </w:tr>
      <w:tr w:rsidR="00C06D54" w:rsidRPr="00AD793A" w14:paraId="5741ACAE" w14:textId="77777777" w:rsidTr="006353A7">
        <w:trPr>
          <w:trHeight w:val="2470"/>
        </w:trPr>
        <w:tc>
          <w:tcPr>
            <w:tcW w:w="4160" w:type="dxa"/>
          </w:tcPr>
          <w:p w14:paraId="67717EAE" w14:textId="77777777" w:rsidR="00C06D54" w:rsidRPr="00AD793A" w:rsidRDefault="00C06D54" w:rsidP="00AF79DA">
            <w:pPr>
              <w:pStyle w:val="NoSpacing"/>
              <w:spacing w:line="360" w:lineRule="auto"/>
              <w:rPr>
                <w:rFonts w:cs="Calibri"/>
                <w:lang w:val="ro-RO"/>
              </w:rPr>
            </w:pPr>
            <w:r w:rsidRPr="00AD793A">
              <w:rPr>
                <w:rFonts w:cs="Calibri"/>
                <w:lang w:val="ro-RO"/>
              </w:rPr>
              <w:t>5.2 de desfăşurare a seminarului/laboratorului</w:t>
            </w:r>
          </w:p>
        </w:tc>
        <w:tc>
          <w:tcPr>
            <w:tcW w:w="5502" w:type="dxa"/>
          </w:tcPr>
          <w:p w14:paraId="0815D43F" w14:textId="77777777" w:rsidR="00C06D54" w:rsidRPr="00AD793A" w:rsidRDefault="00C06D54" w:rsidP="00C06D54">
            <w:pPr>
              <w:pStyle w:val="NoSpacing"/>
              <w:numPr>
                <w:ilvl w:val="0"/>
                <w:numId w:val="28"/>
              </w:numPr>
              <w:ind w:left="0" w:firstLine="0"/>
              <w:jc w:val="both"/>
              <w:rPr>
                <w:rFonts w:cs="Calibri"/>
                <w:lang w:val="ro-RO"/>
              </w:rPr>
            </w:pPr>
            <w:r w:rsidRPr="00AD793A">
              <w:rPr>
                <w:rFonts w:cs="Calibri"/>
                <w:lang w:val="ro-RO"/>
              </w:rPr>
              <w:t>Materiale didactice adaptate pentru studenţii cu dizabilităţi vizuale – cu fonturi mai mari sau Braille.</w:t>
            </w:r>
          </w:p>
          <w:p w14:paraId="487C321A" w14:textId="77777777" w:rsidR="00C06D54" w:rsidRPr="00AD793A" w:rsidRDefault="00C06D54" w:rsidP="00C06D54">
            <w:pPr>
              <w:pStyle w:val="NoSpacing"/>
              <w:numPr>
                <w:ilvl w:val="0"/>
                <w:numId w:val="28"/>
              </w:numPr>
              <w:ind w:left="0" w:firstLine="0"/>
              <w:jc w:val="both"/>
              <w:rPr>
                <w:rFonts w:cs="Calibri"/>
                <w:lang w:val="ro-RO"/>
              </w:rPr>
            </w:pPr>
            <w:r w:rsidRPr="00AD793A">
              <w:rPr>
                <w:rFonts w:cs="Calibri"/>
                <w:lang w:val="ro-RO"/>
              </w:rPr>
              <w:t>Desfăşurarea activităților de seminar  într-o locaţie accesibilă pentru studenții cu deficienţă neuromotorie – cu rampă de acces, la parter, sau cu acces la lift.</w:t>
            </w:r>
          </w:p>
          <w:p w14:paraId="5F9AF8A5" w14:textId="77777777" w:rsidR="00C06D54" w:rsidRPr="00AD793A" w:rsidRDefault="00C06D54" w:rsidP="00C06D54">
            <w:pPr>
              <w:pStyle w:val="NoSpacing"/>
              <w:numPr>
                <w:ilvl w:val="0"/>
                <w:numId w:val="28"/>
              </w:numPr>
              <w:ind w:left="0" w:firstLine="0"/>
              <w:jc w:val="both"/>
              <w:rPr>
                <w:rFonts w:cs="Calibri"/>
                <w:lang w:val="ro-RO"/>
              </w:rPr>
            </w:pPr>
            <w:r w:rsidRPr="00AD793A">
              <w:rPr>
                <w:rFonts w:cs="Calibri"/>
                <w:lang w:val="ro-RO"/>
              </w:rPr>
              <w:t>Înregistrarea live pe reportofon a prelegerii profesorului şi oferirea înregistrării pentru studenţii cu dizabilităţi vizuale şi a celor cu condiţii medicale dizabilitante, care nu pot veni fizic la curs.</w:t>
            </w:r>
          </w:p>
        </w:tc>
      </w:tr>
    </w:tbl>
    <w:p w14:paraId="0D8A67C8" w14:textId="77777777" w:rsidR="00C06D54" w:rsidRPr="00AD793A" w:rsidRDefault="00C06D54" w:rsidP="00C06D54">
      <w:pPr>
        <w:ind w:left="720"/>
        <w:contextualSpacing/>
        <w:rPr>
          <w:rFonts w:ascii="Calibri" w:hAnsi="Calibri" w:cs="Calibri"/>
          <w:sz w:val="22"/>
          <w:szCs w:val="22"/>
          <w:lang w:eastAsia="en-US"/>
        </w:rPr>
      </w:pPr>
    </w:p>
    <w:p w14:paraId="11BC0B99" w14:textId="77777777" w:rsidR="00C06D54" w:rsidRPr="00AD793A" w:rsidRDefault="00C06D54" w:rsidP="00C06D54">
      <w:pPr>
        <w:pStyle w:val="ListParagraph"/>
        <w:numPr>
          <w:ilvl w:val="0"/>
          <w:numId w:val="31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AD793A">
        <w:rPr>
          <w:rFonts w:ascii="Calibri" w:hAnsi="Calibri" w:cs="Calibri"/>
          <w:b/>
          <w:sz w:val="22"/>
          <w:szCs w:val="22"/>
        </w:rPr>
        <w:t>Obiectivele disciplinei - rezultate așteptate ale învățării la formarea cărora contribuie parcurgerea și promovarea disciplinei</w:t>
      </w:r>
    </w:p>
    <w:tbl>
      <w:tblPr>
        <w:tblW w:w="97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8014"/>
      </w:tblGrid>
      <w:tr w:rsidR="00C06D54" w:rsidRPr="00AD793A" w14:paraId="70B33080" w14:textId="77777777" w:rsidTr="006353A7">
        <w:trPr>
          <w:cantSplit/>
          <w:trHeight w:val="897"/>
        </w:trPr>
        <w:tc>
          <w:tcPr>
            <w:tcW w:w="1770" w:type="dxa"/>
            <w:shd w:val="clear" w:color="auto" w:fill="auto"/>
            <w:vAlign w:val="center"/>
          </w:tcPr>
          <w:p w14:paraId="761598F0" w14:textId="77777777" w:rsidR="00C06D54" w:rsidRPr="00AD793A" w:rsidRDefault="00C06D54" w:rsidP="00AF79D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Cunoștințe</w:t>
            </w:r>
          </w:p>
        </w:tc>
        <w:tc>
          <w:tcPr>
            <w:tcW w:w="8014" w:type="dxa"/>
            <w:shd w:val="clear" w:color="auto" w:fill="auto"/>
          </w:tcPr>
          <w:p w14:paraId="35991D68" w14:textId="77777777" w:rsidR="00C06D54" w:rsidRPr="00AD793A" w:rsidRDefault="00C06D54" w:rsidP="00C06D54">
            <w:pPr>
              <w:numPr>
                <w:ilvl w:val="0"/>
                <w:numId w:val="34"/>
              </w:numPr>
              <w:ind w:righ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B795A">
              <w:rPr>
                <w:rFonts w:ascii="Calibri" w:hAnsi="Calibri" w:cs="Calibri"/>
                <w:sz w:val="22"/>
                <w:szCs w:val="22"/>
              </w:rPr>
              <w:t>Studentul va putea să analizeze și să interpreteze critic paradigmele emancipatoare,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argumentele pentru incluziunea școlară </w:t>
            </w:r>
            <w:r w:rsidRPr="001B795A">
              <w:rPr>
                <w:rFonts w:ascii="Calibri" w:hAnsi="Calibri" w:cs="Calibri"/>
                <w:sz w:val="22"/>
                <w:szCs w:val="22"/>
              </w:rPr>
              <w:t>și strategiile de promovare și facilitare ale ei;</w:t>
            </w:r>
          </w:p>
          <w:p w14:paraId="4E0A001D" w14:textId="77777777" w:rsidR="00C06D54" w:rsidRPr="00AD793A" w:rsidRDefault="00C06D54" w:rsidP="00C06D54">
            <w:pPr>
              <w:numPr>
                <w:ilvl w:val="0"/>
                <w:numId w:val="34"/>
              </w:numPr>
              <w:spacing w:before="4"/>
              <w:ind w:right="70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Studentul va putea sa e</w:t>
            </w:r>
            <w:r w:rsidRPr="00AD793A">
              <w:rPr>
                <w:rFonts w:ascii="Calibri" w:hAnsi="Calibri" w:cs="Calibri"/>
                <w:spacing w:val="-1"/>
                <w:sz w:val="22"/>
                <w:szCs w:val="22"/>
              </w:rPr>
              <w:t>x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lice</w:t>
            </w:r>
            <w:r w:rsidRPr="00AD793A">
              <w:rPr>
                <w:rFonts w:ascii="Calibri" w:hAnsi="Calibri" w:cs="Calibri"/>
                <w:spacing w:val="31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pr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i</w:t>
            </w:r>
            <w:r w:rsidRPr="00AD793A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ci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alel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AD793A"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-2"/>
                <w:sz w:val="22"/>
                <w:szCs w:val="22"/>
              </w:rPr>
              <w:t>f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AD793A">
              <w:rPr>
                <w:rFonts w:ascii="Calibri" w:hAnsi="Calibri" w:cs="Calibri"/>
                <w:spacing w:val="3"/>
                <w:sz w:val="22"/>
                <w:szCs w:val="22"/>
              </w:rPr>
              <w:t>r</w:t>
            </w:r>
            <w:r w:rsidRPr="00AD793A">
              <w:rPr>
                <w:rFonts w:ascii="Calibri" w:hAnsi="Calibri" w:cs="Calibri"/>
                <w:spacing w:val="-4"/>
                <w:sz w:val="22"/>
                <w:szCs w:val="22"/>
              </w:rPr>
              <w:t>m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e</w:t>
            </w:r>
            <w:r w:rsidRPr="00AD793A">
              <w:rPr>
                <w:rFonts w:ascii="Calibri" w:hAnsi="Calibri" w:cs="Calibri"/>
                <w:spacing w:val="34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d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e</w:t>
            </w:r>
            <w:r w:rsidRPr="00AD793A"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AD793A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cl</w:t>
            </w:r>
            <w:r w:rsidRPr="00AD793A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AD793A">
              <w:rPr>
                <w:rFonts w:ascii="Calibri" w:hAnsi="Calibri" w:cs="Calibri"/>
                <w:spacing w:val="3"/>
                <w:sz w:val="22"/>
                <w:szCs w:val="22"/>
              </w:rPr>
              <w:t>z</w:t>
            </w:r>
            <w:r w:rsidRPr="00AD793A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AD793A">
              <w:rPr>
                <w:rFonts w:ascii="Calibri" w:hAnsi="Calibri" w:cs="Calibri"/>
                <w:spacing w:val="-1"/>
                <w:sz w:val="22"/>
                <w:szCs w:val="22"/>
              </w:rPr>
              <w:t>un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e,</w:t>
            </w:r>
            <w:r w:rsidRPr="00AD793A">
              <w:rPr>
                <w:rFonts w:ascii="Calibri" w:hAnsi="Calibri" w:cs="Calibri"/>
                <w:spacing w:val="30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pr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e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cu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m</w:t>
            </w:r>
            <w:r w:rsidRPr="00AD793A">
              <w:rPr>
                <w:rFonts w:ascii="Calibri" w:hAnsi="Calibri" w:cs="Calibri"/>
                <w:spacing w:val="34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-1"/>
                <w:sz w:val="22"/>
                <w:szCs w:val="22"/>
              </w:rPr>
              <w:t>ş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i</w:t>
            </w:r>
            <w:r w:rsidRPr="00AD793A">
              <w:rPr>
                <w:rFonts w:ascii="Calibri" w:hAnsi="Calibri" w:cs="Calibri"/>
                <w:spacing w:val="40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til</w:t>
            </w:r>
            <w:r w:rsidRPr="00AD793A"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z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ar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ea</w:t>
            </w:r>
            <w:r w:rsidRPr="00AD793A">
              <w:rPr>
                <w:rFonts w:ascii="Calibri" w:hAnsi="Calibri" w:cs="Calibri"/>
                <w:spacing w:val="32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3"/>
                <w:sz w:val="22"/>
                <w:szCs w:val="22"/>
              </w:rPr>
              <w:t>c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u</w:t>
            </w:r>
            <w:r w:rsidRPr="00AD793A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AD793A">
              <w:rPr>
                <w:rFonts w:ascii="Calibri" w:hAnsi="Calibri" w:cs="Calibri"/>
                <w:spacing w:val="-1"/>
                <w:sz w:val="22"/>
                <w:szCs w:val="22"/>
              </w:rPr>
              <w:t>ş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t</w:t>
            </w:r>
            <w:r w:rsidRPr="00AD793A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AD793A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ţel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r</w:t>
            </w:r>
            <w:r w:rsidRPr="00AD793A">
              <w:rPr>
                <w:rFonts w:ascii="Calibri" w:hAnsi="Calibri" w:cs="Calibri"/>
                <w:spacing w:val="29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d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e</w:t>
            </w:r>
            <w:r w:rsidRPr="00AD793A"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b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a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z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ă</w:t>
            </w:r>
            <w:r w:rsidRPr="00AD793A"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în</w:t>
            </w:r>
            <w:r w:rsidRPr="00AD793A">
              <w:rPr>
                <w:rFonts w:ascii="Calibri" w:hAnsi="Calibri" w:cs="Calibri"/>
                <w:spacing w:val="35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 w:rsidRPr="00AD793A">
              <w:rPr>
                <w:rFonts w:ascii="Calibri" w:hAnsi="Calibri" w:cs="Calibri"/>
                <w:spacing w:val="3"/>
                <w:sz w:val="22"/>
                <w:szCs w:val="22"/>
              </w:rPr>
              <w:t>e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lec</w:t>
            </w:r>
            <w:r w:rsidRPr="00AD793A">
              <w:rPr>
                <w:rFonts w:ascii="Calibri" w:hAnsi="Calibri" w:cs="Calibri"/>
                <w:spacing w:val="3"/>
                <w:sz w:val="22"/>
                <w:szCs w:val="22"/>
              </w:rPr>
              <w:t>t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a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r</w:t>
            </w:r>
            <w:r w:rsidRPr="00AD793A">
              <w:rPr>
                <w:rFonts w:ascii="Calibri" w:hAnsi="Calibri" w:cs="Calibri"/>
                <w:sz w:val="22"/>
                <w:szCs w:val="22"/>
              </w:rPr>
              <w:t xml:space="preserve">ea </w:t>
            </w:r>
            <w:r w:rsidRPr="00AD793A">
              <w:rPr>
                <w:rFonts w:ascii="Calibri" w:hAnsi="Calibri" w:cs="Calibri"/>
                <w:spacing w:val="-4"/>
                <w:sz w:val="22"/>
                <w:szCs w:val="22"/>
              </w:rPr>
              <w:t>m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od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al</w:t>
            </w:r>
            <w:r w:rsidRPr="00AD793A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tăţil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r</w:t>
            </w:r>
            <w:r w:rsidRPr="00AD793A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op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t</w:t>
            </w:r>
            <w:r w:rsidRPr="00AD793A">
              <w:rPr>
                <w:rFonts w:ascii="Calibri" w:hAnsi="Calibri" w:cs="Calibri"/>
                <w:spacing w:val="2"/>
                <w:sz w:val="22"/>
                <w:szCs w:val="22"/>
              </w:rPr>
              <w:t>i</w:t>
            </w:r>
            <w:r w:rsidRPr="00AD793A">
              <w:rPr>
                <w:rFonts w:ascii="Calibri" w:hAnsi="Calibri" w:cs="Calibri"/>
                <w:spacing w:val="-4"/>
                <w:sz w:val="22"/>
                <w:szCs w:val="22"/>
              </w:rPr>
              <w:t>m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e</w:t>
            </w:r>
            <w:r w:rsidRPr="00AD793A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d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e</w:t>
            </w:r>
            <w:r w:rsidRPr="00AD793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incluziune</w:t>
            </w:r>
            <w:r w:rsidRPr="00AD793A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-1"/>
                <w:sz w:val="22"/>
                <w:szCs w:val="22"/>
              </w:rPr>
              <w:t>ş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c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la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r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ă</w:t>
            </w:r>
            <w:r w:rsidRPr="00AD793A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a 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c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op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iilo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r</w:t>
            </w:r>
            <w:r w:rsidRPr="00AD793A">
              <w:rPr>
                <w:rFonts w:ascii="Calibri" w:hAnsi="Calibri" w:cs="Calibri"/>
                <w:sz w:val="22"/>
                <w:szCs w:val="22"/>
              </w:rPr>
              <w:t xml:space="preserve"> cu dizabilități și/sau</w:t>
            </w:r>
            <w:r w:rsidRPr="00AD793A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ES, a elevilor cu abilități înalte</w:t>
            </w:r>
            <w:r w:rsidRPr="00AD793A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2"/>
                <w:sz w:val="22"/>
                <w:szCs w:val="22"/>
              </w:rPr>
              <w:t>î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n</w:t>
            </w:r>
            <w:r w:rsidRPr="00AD793A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f</w:t>
            </w:r>
            <w:r w:rsidRPr="00AD793A">
              <w:rPr>
                <w:rFonts w:ascii="Calibri" w:hAnsi="Calibri" w:cs="Calibri"/>
                <w:spacing w:val="8"/>
                <w:sz w:val="22"/>
                <w:szCs w:val="22"/>
              </w:rPr>
              <w:t>u</w:t>
            </w:r>
            <w:r w:rsidRPr="00AD793A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cţie</w:t>
            </w:r>
            <w:r w:rsidRPr="00AD793A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d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e</w:t>
            </w:r>
            <w:r w:rsidRPr="00AD793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a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r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tic</w:t>
            </w:r>
            <w:r w:rsidRPr="00AD793A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la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r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ităţile</w:t>
            </w:r>
            <w:r w:rsidRPr="00AD793A"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a</w:t>
            </w:r>
            <w:r w:rsidRPr="00AD793A">
              <w:rPr>
                <w:rFonts w:ascii="Calibri" w:hAnsi="Calibri" w:cs="Calibri"/>
                <w:spacing w:val="3"/>
                <w:sz w:val="22"/>
                <w:szCs w:val="22"/>
              </w:rPr>
              <w:t>c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esto</w:t>
            </w:r>
            <w:r w:rsidRPr="00AD793A">
              <w:rPr>
                <w:rFonts w:ascii="Calibri" w:hAnsi="Calibri" w:cs="Calibri"/>
                <w:spacing w:val="1"/>
                <w:sz w:val="22"/>
                <w:szCs w:val="22"/>
              </w:rPr>
              <w:t>r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a.</w:t>
            </w:r>
          </w:p>
        </w:tc>
      </w:tr>
      <w:tr w:rsidR="00C06D54" w:rsidRPr="00AD793A" w14:paraId="007670BE" w14:textId="77777777" w:rsidTr="006353A7">
        <w:trPr>
          <w:cantSplit/>
          <w:trHeight w:val="837"/>
        </w:trPr>
        <w:tc>
          <w:tcPr>
            <w:tcW w:w="1770" w:type="dxa"/>
            <w:shd w:val="clear" w:color="auto" w:fill="auto"/>
            <w:vAlign w:val="center"/>
          </w:tcPr>
          <w:p w14:paraId="255881C8" w14:textId="77777777" w:rsidR="00C06D54" w:rsidRPr="00AD793A" w:rsidRDefault="00C06D54" w:rsidP="00AF79D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Abilități</w:t>
            </w:r>
          </w:p>
        </w:tc>
        <w:tc>
          <w:tcPr>
            <w:tcW w:w="8014" w:type="dxa"/>
            <w:shd w:val="clear" w:color="auto" w:fill="auto"/>
          </w:tcPr>
          <w:p w14:paraId="4F77A30E" w14:textId="77777777" w:rsidR="00C06D54" w:rsidRDefault="00C06D54" w:rsidP="00C06D54">
            <w:pPr>
              <w:numPr>
                <w:ilvl w:val="0"/>
                <w:numId w:val="3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Studentul va putea să utilizeze principiile</w:t>
            </w:r>
            <w:r w:rsidRPr="001B795A">
              <w:rPr>
                <w:rFonts w:ascii="Calibri" w:hAnsi="Calibri" w:cs="Calibri"/>
                <w:sz w:val="22"/>
                <w:szCs w:val="22"/>
              </w:rPr>
              <w:t xml:space="preserve"> de bază în vederea elaborării programelor de intervenţie personalizată, a adaptării curriculare pentru copiii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B795A">
              <w:rPr>
                <w:rFonts w:ascii="Calibri" w:hAnsi="Calibri" w:cs="Calibri"/>
                <w:sz w:val="22"/>
                <w:szCs w:val="22"/>
              </w:rPr>
              <w:t>cu dizabilități și/sau CES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/ cu abilități îbalte </w:t>
            </w:r>
            <w:r w:rsidRPr="001B795A">
              <w:rPr>
                <w:rFonts w:ascii="Calibri" w:hAnsi="Calibri" w:cs="Calibri"/>
                <w:sz w:val="22"/>
                <w:szCs w:val="22"/>
              </w:rPr>
              <w:t xml:space="preserve"> în funcţie de nevoile specifice şi particularităţile acestora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3BB74247" w14:textId="77777777" w:rsidR="00C06D54" w:rsidRPr="00AD793A" w:rsidRDefault="00C06D54" w:rsidP="00C06D54">
            <w:pPr>
              <w:numPr>
                <w:ilvl w:val="0"/>
                <w:numId w:val="35"/>
              </w:numPr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Studentul va putea sa aplice  procedurile de individualizare a curriculumului, a metodelor de predare şi evaluare didactică în funcţie de nevoile specifice şi particularităţile copiilor cu dizabilități și/sau CES / cu abilități înalte.</w:t>
            </w:r>
          </w:p>
        </w:tc>
      </w:tr>
      <w:tr w:rsidR="00C06D54" w:rsidRPr="00AD793A" w14:paraId="632FA1C5" w14:textId="77777777" w:rsidTr="006353A7">
        <w:trPr>
          <w:cantSplit/>
          <w:trHeight w:val="991"/>
        </w:trPr>
        <w:tc>
          <w:tcPr>
            <w:tcW w:w="1770" w:type="dxa"/>
            <w:shd w:val="clear" w:color="auto" w:fill="auto"/>
            <w:vAlign w:val="center"/>
          </w:tcPr>
          <w:p w14:paraId="5ACFDF6C" w14:textId="77777777" w:rsidR="00C06D54" w:rsidRPr="00AD793A" w:rsidRDefault="00C06D54" w:rsidP="00AF79D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Responsabilitate și autonomie</w:t>
            </w:r>
          </w:p>
        </w:tc>
        <w:tc>
          <w:tcPr>
            <w:tcW w:w="8014" w:type="dxa"/>
            <w:shd w:val="clear" w:color="auto" w:fill="auto"/>
          </w:tcPr>
          <w:p w14:paraId="73BB0720" w14:textId="77777777" w:rsidR="00C06D54" w:rsidRDefault="00C06D54" w:rsidP="00C06D54">
            <w:pPr>
              <w:numPr>
                <w:ilvl w:val="0"/>
                <w:numId w:val="36"/>
              </w:numPr>
              <w:ind w:right="71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07EF">
              <w:rPr>
                <w:rFonts w:ascii="Calibri" w:hAnsi="Calibri" w:cs="Calibri"/>
                <w:sz w:val="22"/>
                <w:szCs w:val="22"/>
              </w:rPr>
              <w:t>Promovarea non-discriminăr</w:t>
            </w:r>
            <w:r>
              <w:rPr>
                <w:rFonts w:ascii="Calibri" w:hAnsi="Calibri" w:cs="Calibri"/>
                <w:sz w:val="22"/>
                <w:szCs w:val="22"/>
              </w:rPr>
              <w:t>ii și a echității în societate;</w:t>
            </w:r>
          </w:p>
          <w:p w14:paraId="690D5A92" w14:textId="77777777" w:rsidR="00C06D54" w:rsidRPr="005A07EF" w:rsidRDefault="00C06D54" w:rsidP="00C06D54">
            <w:pPr>
              <w:numPr>
                <w:ilvl w:val="0"/>
                <w:numId w:val="36"/>
              </w:numPr>
              <w:ind w:right="71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07EF">
              <w:rPr>
                <w:rFonts w:ascii="Calibri" w:hAnsi="Calibri" w:cs="Calibri"/>
                <w:sz w:val="22"/>
                <w:szCs w:val="22"/>
              </w:rPr>
              <w:t>Promovarea și militarea pentru respectarea drepturilor persoanelor cu dizabilități;</w:t>
            </w:r>
          </w:p>
          <w:p w14:paraId="40588E4C" w14:textId="77777777" w:rsidR="00C06D54" w:rsidRPr="005A07EF" w:rsidRDefault="00C06D54" w:rsidP="00C06D54">
            <w:pPr>
              <w:numPr>
                <w:ilvl w:val="0"/>
                <w:numId w:val="36"/>
              </w:numPr>
              <w:ind w:right="71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07EF">
              <w:rPr>
                <w:rFonts w:ascii="Calibri" w:hAnsi="Calibri" w:cs="Calibri"/>
                <w:sz w:val="22"/>
                <w:szCs w:val="22"/>
              </w:rPr>
              <w:t>Promovarea și militarea pentru integrarea socială, școlară și profesională a persoanelor cu dizabilități;</w:t>
            </w:r>
          </w:p>
          <w:p w14:paraId="2057CBBC" w14:textId="77777777" w:rsidR="00C06D54" w:rsidRPr="00AD793A" w:rsidRDefault="00C06D54" w:rsidP="00C06D54">
            <w:pPr>
              <w:numPr>
                <w:ilvl w:val="0"/>
                <w:numId w:val="36"/>
              </w:numPr>
              <w:rPr>
                <w:rFonts w:ascii="Calibri" w:hAnsi="Calibri" w:cs="Calibri"/>
                <w:sz w:val="22"/>
                <w:szCs w:val="22"/>
              </w:rPr>
            </w:pPr>
            <w:r w:rsidRPr="005A07EF">
              <w:rPr>
                <w:rFonts w:ascii="Calibri" w:hAnsi="Calibri" w:cs="Calibri"/>
                <w:sz w:val="22"/>
                <w:szCs w:val="22"/>
              </w:rPr>
              <w:t>Respectarea codul deontologic al profesiei și a eticii profesionale.</w:t>
            </w:r>
          </w:p>
        </w:tc>
      </w:tr>
    </w:tbl>
    <w:p w14:paraId="355DDE6E" w14:textId="77777777" w:rsidR="00C06D54" w:rsidRPr="00AD793A" w:rsidRDefault="00C06D54" w:rsidP="00C06D54">
      <w:pPr>
        <w:spacing w:line="276" w:lineRule="auto"/>
        <w:contextualSpacing/>
        <w:rPr>
          <w:rFonts w:ascii="Calibri" w:hAnsi="Calibri" w:cs="Calibri"/>
          <w:b/>
          <w:sz w:val="22"/>
          <w:szCs w:val="22"/>
          <w:lang w:eastAsia="en-US"/>
        </w:rPr>
      </w:pPr>
    </w:p>
    <w:p w14:paraId="6D2AEFF5" w14:textId="77777777" w:rsidR="00C06D54" w:rsidRPr="00AD793A" w:rsidRDefault="00C06D54" w:rsidP="00C06D54">
      <w:pPr>
        <w:numPr>
          <w:ilvl w:val="0"/>
          <w:numId w:val="31"/>
        </w:numPr>
        <w:spacing w:line="276" w:lineRule="auto"/>
        <w:ind w:left="714" w:hanging="357"/>
        <w:contextualSpacing/>
        <w:rPr>
          <w:rFonts w:ascii="Calibri" w:hAnsi="Calibri" w:cs="Calibri"/>
          <w:b/>
          <w:sz w:val="22"/>
          <w:szCs w:val="22"/>
          <w:lang w:eastAsia="en-US"/>
        </w:rPr>
      </w:pPr>
      <w:r w:rsidRPr="00AD793A">
        <w:rPr>
          <w:rFonts w:ascii="Calibri" w:hAnsi="Calibri" w:cs="Calibri"/>
          <w:b/>
          <w:sz w:val="22"/>
          <w:szCs w:val="22"/>
          <w:lang w:eastAsia="en-US"/>
        </w:rPr>
        <w:t xml:space="preserve">Conţinuturi </w:t>
      </w:r>
    </w:p>
    <w:tbl>
      <w:tblPr>
        <w:tblW w:w="1573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2160"/>
        <w:gridCol w:w="4330"/>
        <w:gridCol w:w="5915"/>
      </w:tblGrid>
      <w:tr w:rsidR="00C06D54" w:rsidRPr="00AD793A" w14:paraId="784E96DC" w14:textId="77777777" w:rsidTr="00AF79DA">
        <w:trPr>
          <w:trHeight w:val="25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14:paraId="23448D94" w14:textId="77777777" w:rsidR="00C06D54" w:rsidRPr="00AD793A" w:rsidRDefault="00C06D54" w:rsidP="00C06D54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Curs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F83F1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   Metode de predare</w:t>
            </w:r>
          </w:p>
        </w:tc>
        <w:tc>
          <w:tcPr>
            <w:tcW w:w="4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99CE92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76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Observaţii /  conţinuturi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66FC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24A5294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00C9A3F9" w14:textId="77777777" w:rsidTr="00AF79DA">
        <w:trPr>
          <w:trHeight w:val="25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14:paraId="79FE5E5F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  <w:p w14:paraId="2E775B5F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b/>
                <w:sz w:val="22"/>
                <w:szCs w:val="22"/>
              </w:rPr>
              <w:t>T.1.:</w:t>
            </w:r>
            <w:r w:rsidRPr="00AD79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i/>
                <w:sz w:val="22"/>
                <w:szCs w:val="22"/>
              </w:rPr>
              <w:t>Psihopedagogia diversităţii</w:t>
            </w:r>
          </w:p>
          <w:p w14:paraId="33F924E7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  <w:p w14:paraId="78098024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b/>
                <w:sz w:val="22"/>
                <w:szCs w:val="22"/>
              </w:rPr>
              <w:t>C.1.:</w:t>
            </w:r>
            <w:r w:rsidRPr="00AD793A">
              <w:rPr>
                <w:rFonts w:ascii="Calibri" w:hAnsi="Calibri" w:cs="Calibri"/>
                <w:sz w:val="22"/>
                <w:szCs w:val="22"/>
              </w:rPr>
              <w:t xml:space="preserve"> Psihologia diversităţii: cadrul conceptual.</w:t>
            </w:r>
          </w:p>
          <w:p w14:paraId="1F85D732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  <w:p w14:paraId="6C9D6537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b/>
                <w:sz w:val="22"/>
                <w:szCs w:val="22"/>
              </w:rPr>
              <w:t>C.2.:</w:t>
            </w:r>
            <w:r w:rsidRPr="00AD793A">
              <w:rPr>
                <w:rFonts w:ascii="Calibri" w:hAnsi="Calibri" w:cs="Calibri"/>
                <w:sz w:val="22"/>
                <w:szCs w:val="22"/>
              </w:rPr>
              <w:t xml:space="preserve"> Particularități ale proceselor psihice și educaționale ale copiilor cu dizabilități și/sau CES.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40D6D4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  <w:p w14:paraId="6B7E79ED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Prelegerea interactivă</w:t>
            </w:r>
          </w:p>
          <w:p w14:paraId="6E185D20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Dezbaterea</w:t>
            </w:r>
          </w:p>
          <w:p w14:paraId="37B98159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Reflecția individuală și</w:t>
            </w:r>
          </w:p>
          <w:p w14:paraId="62A3FC63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colectivă</w:t>
            </w:r>
          </w:p>
          <w:p w14:paraId="48163FA0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Problematizarea</w:t>
            </w:r>
          </w:p>
          <w:p w14:paraId="1893B8EA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Argumentarea</w:t>
            </w:r>
          </w:p>
          <w:p w14:paraId="7629B009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5350F7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Diversitatea grupei / clasei, diversitatea ca resursă educaţională, tipologia cerinţelor educaţionale speciale.</w:t>
            </w:r>
          </w:p>
          <w:p w14:paraId="6F55EBC5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 xml:space="preserve">Normalitate, incapacitate, dizabilitate, deficienţă, handicap, defect, </w:t>
            </w: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integrare, incluziune, diferenţiere. </w:t>
            </w:r>
            <w:r w:rsidRPr="00AD793A">
              <w:rPr>
                <w:rFonts w:ascii="Calibri" w:hAnsi="Calibri" w:cs="Calibri"/>
                <w:sz w:val="22"/>
                <w:szCs w:val="22"/>
              </w:rPr>
              <w:t>Diversitatea ca resursă educaţională.</w:t>
            </w:r>
          </w:p>
          <w:p w14:paraId="4E42CED0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Profilul psihocomportamental</w:t>
            </w:r>
          </w:p>
          <w:p w14:paraId="7404F147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al copiilor cu dizabilități și/sau CES.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92A5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40AEB7D4" w14:textId="77777777" w:rsidTr="00AF79DA">
        <w:trPr>
          <w:trHeight w:val="25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14:paraId="52A437A3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b/>
                <w:sz w:val="22"/>
                <w:szCs w:val="22"/>
              </w:rPr>
              <w:t>T.2.:</w:t>
            </w:r>
            <w:r w:rsidRPr="00AD79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D793A">
              <w:rPr>
                <w:rFonts w:ascii="Calibri" w:hAnsi="Calibri" w:cs="Calibri"/>
                <w:i/>
                <w:sz w:val="22"/>
                <w:szCs w:val="22"/>
              </w:rPr>
              <w:t>Normativitatea educației cerințelor speciale și a educației incluzive</w:t>
            </w:r>
          </w:p>
          <w:p w14:paraId="00F73A31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b/>
                <w:sz w:val="22"/>
                <w:szCs w:val="22"/>
              </w:rPr>
              <w:t>C.3:</w:t>
            </w:r>
            <w:r w:rsidRPr="00AD793A">
              <w:rPr>
                <w:rFonts w:ascii="Calibri" w:hAnsi="Calibri" w:cs="Calibri"/>
                <w:sz w:val="22"/>
                <w:szCs w:val="22"/>
              </w:rPr>
              <w:t xml:space="preserve"> Contextul internaţional și național.</w:t>
            </w:r>
          </w:p>
          <w:p w14:paraId="27801DCE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 xml:space="preserve">Tipuri / forme de educație integrată și incluzivă. </w:t>
            </w:r>
          </w:p>
          <w:p w14:paraId="79041D8F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EEE55C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Prelegerea interactivă</w:t>
            </w:r>
          </w:p>
          <w:p w14:paraId="40E1B398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Dezbaterea</w:t>
            </w:r>
          </w:p>
        </w:tc>
        <w:tc>
          <w:tcPr>
            <w:tcW w:w="4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B39866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 xml:space="preserve">Convenţia ONU privind dreptul la educaţie incluzivă al copiilor cu cerinţe educative speciale. Legislaţia românească ce asigură dreptul la educaţie incluzivă a copiilor cu cerinţe educative speciale. </w:t>
            </w:r>
          </w:p>
          <w:p w14:paraId="5DEA5426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 xml:space="preserve">Tipuri / forme de educație integrată și incluzivă. </w:t>
            </w:r>
          </w:p>
          <w:p w14:paraId="01AB2082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AC184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15057CC0" w14:textId="77777777" w:rsidTr="00AF79DA">
        <w:trPr>
          <w:trHeight w:val="652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14:paraId="09CF0674" w14:textId="77777777" w:rsidR="00C06D54" w:rsidRPr="00AD793A" w:rsidRDefault="00C06D54" w:rsidP="00AF79DA">
            <w:pPr>
              <w:spacing w:line="276" w:lineRule="auto"/>
              <w:ind w:left="144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 xml:space="preserve">T.3.: </w:t>
            </w:r>
            <w:r w:rsidRPr="00AD793A">
              <w:rPr>
                <w:rFonts w:ascii="Calibri" w:hAnsi="Calibri" w:cs="Calibri"/>
                <w:i/>
                <w:sz w:val="22"/>
                <w:szCs w:val="22"/>
              </w:rPr>
              <w:t>Curriculum „incluziv”: proiectare, conţinuturi, strategii de predare / învăţare, evaluare; adaptare curriculară</w:t>
            </w:r>
          </w:p>
          <w:p w14:paraId="663739B9" w14:textId="77777777" w:rsidR="00C06D54" w:rsidRPr="00AD793A" w:rsidRDefault="00C06D54" w:rsidP="00AF79DA">
            <w:pPr>
              <w:spacing w:line="276" w:lineRule="auto"/>
              <w:ind w:left="1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AE6724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C.4.: Sisteme de suport și intervenție în contextul CES și / sau dizabilității;</w:t>
            </w:r>
            <w:r w:rsidRPr="00AD793A">
              <w:rPr>
                <w:rFonts w:ascii="Calibri" w:hAnsi="Calibri" w:cs="Calibri"/>
                <w:sz w:val="22"/>
                <w:szCs w:val="22"/>
              </w:rPr>
              <w:cr/>
            </w:r>
          </w:p>
          <w:p w14:paraId="10B7B05D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C.5.: Diferențierea curriculară în condițiile dizabilități și/sau CES. Pedagogie remedială.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F5A2FE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Prelegerea interactivă</w:t>
            </w:r>
          </w:p>
          <w:p w14:paraId="777AE7DA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Dezbaterea</w:t>
            </w:r>
          </w:p>
          <w:p w14:paraId="411D8085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Reflecția individuală și</w:t>
            </w:r>
          </w:p>
          <w:p w14:paraId="23D83E91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colectivă</w:t>
            </w:r>
          </w:p>
          <w:p w14:paraId="39E508C2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Problematizarea</w:t>
            </w:r>
          </w:p>
          <w:p w14:paraId="228DCA47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Argumentarea</w:t>
            </w:r>
          </w:p>
          <w:p w14:paraId="3495CA6E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83A01F" w14:textId="77777777" w:rsidR="00C06D54" w:rsidRPr="00AD793A" w:rsidRDefault="00C06D54" w:rsidP="00AF79DA">
            <w:pPr>
              <w:spacing w:line="276" w:lineRule="auto"/>
              <w:ind w:left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1A2AE02" w14:textId="77777777" w:rsidR="00C06D54" w:rsidRPr="00AD793A" w:rsidRDefault="00C06D54" w:rsidP="00AF79DA">
            <w:pPr>
              <w:spacing w:line="276" w:lineRule="auto"/>
              <w:ind w:left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8FA8088" w14:textId="77777777" w:rsidR="00C06D54" w:rsidRPr="00AD793A" w:rsidRDefault="00C06D54" w:rsidP="00AF79DA">
            <w:pPr>
              <w:spacing w:line="276" w:lineRule="auto"/>
              <w:ind w:left="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D21BA45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Echipa multidisciplinară.</w:t>
            </w:r>
          </w:p>
          <w:p w14:paraId="11F3D33E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Planul educațional individualizat (PEI)</w:t>
            </w:r>
          </w:p>
          <w:p w14:paraId="51FBB3D6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Criterii de adaptare curriculară.</w:t>
            </w:r>
          </w:p>
          <w:p w14:paraId="402EE911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0003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1ECA5908" w14:textId="77777777" w:rsidTr="00AF79DA">
        <w:trPr>
          <w:trHeight w:val="25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14:paraId="0E8F96C3" w14:textId="77777777" w:rsidR="00C06D54" w:rsidRPr="00AD793A" w:rsidRDefault="00C06D54" w:rsidP="00AF79DA">
            <w:pPr>
              <w:spacing w:line="276" w:lineRule="auto"/>
              <w:ind w:left="144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AD793A">
              <w:rPr>
                <w:rFonts w:ascii="Calibri" w:hAnsi="Calibri" w:cs="Calibri"/>
                <w:i/>
                <w:sz w:val="22"/>
                <w:szCs w:val="22"/>
              </w:rPr>
              <w:t>T.4.: Supradotare și talent</w:t>
            </w:r>
          </w:p>
          <w:p w14:paraId="3597757B" w14:textId="77777777" w:rsidR="00C06D54" w:rsidRPr="00AD793A" w:rsidRDefault="00C06D54" w:rsidP="00AF79DA">
            <w:pPr>
              <w:spacing w:line="276" w:lineRule="auto"/>
              <w:ind w:left="1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82C3D5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C.6.: Nevoi educaționale specifice copiilor supradotaţi.</w:t>
            </w:r>
          </w:p>
          <w:p w14:paraId="499F752E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lastRenderedPageBreak/>
              <w:t>C.7.: Proiectarea curriculum-ului diferenţiat şi personalizat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5F4566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  <w:p w14:paraId="32F60BCF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Prelegerea interactivă</w:t>
            </w:r>
          </w:p>
          <w:p w14:paraId="242FCF0E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Dezbaterea</w:t>
            </w:r>
          </w:p>
          <w:p w14:paraId="5927112B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Reflecția individuală și</w:t>
            </w:r>
          </w:p>
          <w:p w14:paraId="4ACA8A98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lastRenderedPageBreak/>
              <w:t>colectivă</w:t>
            </w:r>
          </w:p>
          <w:p w14:paraId="5733B93E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Problematizarea</w:t>
            </w:r>
          </w:p>
          <w:p w14:paraId="7656590F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Argumentarea</w:t>
            </w:r>
          </w:p>
          <w:p w14:paraId="69A396F9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E3B87B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</w:t>
            </w:r>
          </w:p>
          <w:p w14:paraId="1229215A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Modele de diferențiere curriculară</w:t>
            </w:r>
          </w:p>
          <w:p w14:paraId="4EF124EE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Îmbogățirea curriculară. Accelerarea curriculară. </w:t>
            </w:r>
          </w:p>
          <w:p w14:paraId="142290E3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  <w:p w14:paraId="0D1D0074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7072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760C2AFC" w14:textId="77777777" w:rsidTr="00AF79DA">
        <w:trPr>
          <w:trHeight w:val="250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14:paraId="53C6570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8.2 Seminar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05A08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   Metode de predare</w:t>
            </w:r>
          </w:p>
        </w:tc>
        <w:tc>
          <w:tcPr>
            <w:tcW w:w="4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ED287A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Observaţii /  conţinuturi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68F7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22B669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67247425" w14:textId="77777777" w:rsidTr="00AF79DA">
        <w:trPr>
          <w:trHeight w:val="249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14:paraId="4BDA0E3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S.1. Delimitări conceptuale: studiul documentelor legislative</w:t>
            </w:r>
          </w:p>
          <w:p w14:paraId="076039D0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1968E46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CBF43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Expunerea</w:t>
            </w:r>
          </w:p>
          <w:p w14:paraId="4AA25125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Problematizarea</w:t>
            </w:r>
          </w:p>
          <w:p w14:paraId="500FD02F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Studiul de caz</w:t>
            </w:r>
          </w:p>
          <w:p w14:paraId="09B26974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Argumentarea</w:t>
            </w:r>
          </w:p>
          <w:p w14:paraId="1C843A78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Gândirea critică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C3D155" w14:textId="77777777" w:rsidR="00C06D54" w:rsidRPr="00AD793A" w:rsidRDefault="00C06D54" w:rsidP="00AF79D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44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Legea 1/2011 modif. (“Legea educatiei nationale”)</w:t>
            </w:r>
          </w:p>
          <w:p w14:paraId="4E426526" w14:textId="77777777" w:rsidR="00C06D54" w:rsidRPr="00AD793A" w:rsidRDefault="00C06D54" w:rsidP="00AF79D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44"/>
              <w:textAlignment w:val="baseline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Procedura de asigurare a egalității de șanse pentru elevii cu dizabilități și CES la evaluările naționale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F304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15C0CF5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69BB7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A49A15E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5C06FF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294F26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55DA4450" w14:textId="77777777" w:rsidTr="00AF79DA">
        <w:trPr>
          <w:trHeight w:val="249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14:paraId="7C888CA6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S.2: Convenţia ONU privind dreptul la educaţie incluzivă al copiilor cu cerinţe educative speciale. </w:t>
            </w:r>
          </w:p>
          <w:p w14:paraId="1D88BB0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Legislaţia românească</w:t>
            </w:r>
          </w:p>
          <w:p w14:paraId="217B1B90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Tipuri / forme de educație integrată și incluzivă.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DD2301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Metoda Frisco</w:t>
            </w:r>
          </w:p>
          <w:p w14:paraId="60949FF9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Studiul de caz</w:t>
            </w:r>
          </w:p>
          <w:p w14:paraId="40C9FFA7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Tehnica acvariului</w:t>
            </w:r>
          </w:p>
          <w:p w14:paraId="20618E99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Metoda R.A.I.</w:t>
            </w:r>
          </w:p>
          <w:p w14:paraId="59A850C2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Răspunde-Aruncă-Interoghează</w:t>
            </w:r>
          </w:p>
          <w:p w14:paraId="292EFFC4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Tehnica Phillips 6/6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16BB2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Modalităţi şi forme ale integrării existente în şcoala românească.</w:t>
            </w:r>
          </w:p>
          <w:p w14:paraId="02167C72" w14:textId="77777777" w:rsidR="00C06D54" w:rsidRPr="00AD793A" w:rsidRDefault="00C06D54" w:rsidP="00AF79D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Avantaje şi limite ale integrării şcolare.</w:t>
            </w:r>
          </w:p>
          <w:p w14:paraId="33B0DA83" w14:textId="77777777" w:rsidR="00C06D54" w:rsidRPr="00AD793A" w:rsidRDefault="00C06D54" w:rsidP="00AF79D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Incluziunea școlară – fome de obiectivare</w:t>
            </w:r>
          </w:p>
          <w:p w14:paraId="22BB96CE" w14:textId="77777777" w:rsidR="00C06D54" w:rsidRPr="00AD793A" w:rsidRDefault="00C06D54" w:rsidP="00AF79D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119524B2" w14:textId="77777777" w:rsidR="00C06D54" w:rsidRPr="00AD793A" w:rsidRDefault="00C06D54" w:rsidP="00AF79D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21AD7B8F" w14:textId="77777777" w:rsidR="00C06D54" w:rsidRPr="00AD793A" w:rsidRDefault="00C06D54" w:rsidP="00AF79DA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4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9EDF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7F510B8F" w14:textId="77777777" w:rsidTr="00AF79DA">
        <w:trPr>
          <w:trHeight w:val="249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14:paraId="317BA46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S.4.: Evaluarea psihopedagogică și educațională a copiilor cu dizabilități și/sau CES</w:t>
            </w:r>
          </w:p>
          <w:p w14:paraId="6F5DE59E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03ECA1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3DAEF22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1148F9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D68551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Simularea</w:t>
            </w:r>
          </w:p>
          <w:p w14:paraId="1CC52AB8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Demonstrația, Problematizarea</w:t>
            </w:r>
          </w:p>
          <w:p w14:paraId="53049F3A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Studiul de caz.</w:t>
            </w:r>
          </w:p>
          <w:p w14:paraId="735D63EF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Tehnica 6/3/5 </w:t>
            </w:r>
          </w:p>
          <w:p w14:paraId="60CFCF4B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Metoda 3-2-1</w:t>
            </w:r>
          </w:p>
          <w:p w14:paraId="1F5059AC" w14:textId="77777777" w:rsidR="00C06D54" w:rsidRPr="00AD793A" w:rsidRDefault="00C06D54" w:rsidP="00AF79DA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Jurnalul cu dublă intrare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8CE4C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Fișa psihopedagogică</w:t>
            </w:r>
          </w:p>
          <w:p w14:paraId="0030FF6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2C30834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F1EA16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31E60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6EF3450E" w14:textId="77777777" w:rsidTr="00AF79DA">
        <w:trPr>
          <w:trHeight w:val="249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14:paraId="6335601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S.4.: Particularități ale proceselor psihice și educaționale ale copiilor cu dizabilități și/sau CES.</w:t>
            </w:r>
          </w:p>
          <w:p w14:paraId="11B5196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6B9CF26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0BBBF8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Simularea</w:t>
            </w:r>
          </w:p>
          <w:p w14:paraId="00370A9D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Demonstrația, Problematizarea</w:t>
            </w:r>
          </w:p>
          <w:p w14:paraId="5A9EE3B4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Studiul de caz.</w:t>
            </w:r>
          </w:p>
          <w:p w14:paraId="1C9252DA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Metoda 3-2-1</w:t>
            </w:r>
          </w:p>
          <w:p w14:paraId="34812A9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Jurnalul cu dublă intrare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4CDCCB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Profilul psihocomportamental</w:t>
            </w:r>
          </w:p>
          <w:p w14:paraId="51BF3914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al copiilor cu dizabilități și/sau CES.</w:t>
            </w:r>
          </w:p>
          <w:p w14:paraId="2FFD8C3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</w:p>
          <w:p w14:paraId="2CF996B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7B7CE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19192CB5" w14:textId="77777777" w:rsidTr="00AF79DA">
        <w:trPr>
          <w:trHeight w:val="2344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14:paraId="05AD2798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ED4AF4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0555EC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62201A4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S.5.: Diferențierea curriculară în condițiile dizabilități și/sau CES. Pedagogie remedială</w:t>
            </w:r>
          </w:p>
          <w:p w14:paraId="61A5A20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A45E240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60586D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D11EA66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35A292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EA0F7E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Simularea</w:t>
            </w:r>
          </w:p>
          <w:p w14:paraId="32612972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Demonstrația, Problematizarea</w:t>
            </w:r>
          </w:p>
          <w:p w14:paraId="547FB7A1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Studiul de caz.</w:t>
            </w:r>
          </w:p>
          <w:p w14:paraId="42B484B0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Tehnica 6/3/5 </w:t>
            </w:r>
          </w:p>
          <w:p w14:paraId="22532EAE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Metoda 3-2-1</w:t>
            </w:r>
          </w:p>
          <w:p w14:paraId="6C327B69" w14:textId="77777777" w:rsidR="00C06D54" w:rsidRPr="00AD793A" w:rsidRDefault="00C06D54" w:rsidP="00AF79DA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Jurnalul cu dublă intrare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B55FCE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Echipa multidisciplinară. </w:t>
            </w:r>
          </w:p>
          <w:p w14:paraId="34295AF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PEI.</w:t>
            </w:r>
          </w:p>
          <w:p w14:paraId="3194B776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Forme de organizare şi proiectare didactică în condiţiile educaţiei integrate. Aspecte privind adaptarea şi individualizarea curriculum-ului şcolar pentru elevii cu cerinţe educative speciali integraţi. (programa adaptată şi proiectarea diferenţiată a activităţilor </w:t>
            </w: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didactice, corective şi recuperatorii).</w:t>
            </w:r>
          </w:p>
          <w:p w14:paraId="314F0701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C82B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3C04A2E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2EA7F0F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6D54" w:rsidRPr="00AD793A" w14:paraId="061A6802" w14:textId="77777777" w:rsidTr="00AF79DA">
        <w:trPr>
          <w:trHeight w:val="249"/>
        </w:trPr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bottom"/>
          </w:tcPr>
          <w:p w14:paraId="75D4CF74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S.6. și S.7.: Oportunităţi de diferenţiere şi extindere a curriculum-ului în clasă în condițiile supradotării / talentului.</w:t>
            </w:r>
          </w:p>
          <w:p w14:paraId="00277BB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5C20EF3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0C4303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17B393D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4F98BD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Metoda Frisco</w:t>
            </w:r>
          </w:p>
          <w:p w14:paraId="5BA38F7E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Metoda R.A.I.</w:t>
            </w:r>
          </w:p>
          <w:p w14:paraId="2CC4A912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Răspunde-Aruncă-Interoghează</w:t>
            </w:r>
          </w:p>
          <w:p w14:paraId="0F96D848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Studiul de caz.</w:t>
            </w:r>
          </w:p>
          <w:p w14:paraId="28F3F33C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Metoda 3-2-1</w:t>
            </w:r>
          </w:p>
          <w:p w14:paraId="31C71DAA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Jurnalul cu dublă intrare</w:t>
            </w:r>
          </w:p>
          <w:p w14:paraId="3EC9C691" w14:textId="77777777" w:rsidR="00C06D54" w:rsidRPr="00AD793A" w:rsidRDefault="00C06D54" w:rsidP="00AF79DA">
            <w:pPr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Tehnica Phillips 6/6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D39146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Modelul Triadic (Enrichment Triad Model, Renzulli, 1977)</w:t>
            </w:r>
          </w:p>
          <w:p w14:paraId="18791A27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Modelul Curriculum-ului Integrat (ICM), VanTassel-Baska, 2003</w:t>
            </w:r>
          </w:p>
          <w:p w14:paraId="78ECF6F9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Modelul Meniului Multiplu (MMM;</w:t>
            </w:r>
          </w:p>
          <w:p w14:paraId="35CBA020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Renzulli, 1988; Renzulli ş.a., 2000)</w:t>
            </w:r>
          </w:p>
          <w:p w14:paraId="5FCAB43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Modelul Curriculum-ului Paralel</w:t>
            </w:r>
          </w:p>
          <w:p w14:paraId="7E7115A5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(PCM).  Tomlinson ş.a., 2002</w:t>
            </w:r>
          </w:p>
          <w:p w14:paraId="53584F74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Modelul LoS (The Levels of Service)</w:t>
            </w:r>
          </w:p>
          <w:p w14:paraId="7DED005C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  <w:lang w:eastAsia="en-US"/>
              </w:rPr>
              <w:t>(Treffinger 1981, 1998; Treffinger ş.a., 2004)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3C6D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56075BB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0916D4A" w14:textId="77777777" w:rsidR="00C06D54" w:rsidRPr="00AD793A" w:rsidRDefault="00C06D54" w:rsidP="00AF7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3E14CA13" w14:textId="77777777" w:rsidR="00C06D54" w:rsidRPr="00AD793A" w:rsidRDefault="00C06D54" w:rsidP="00C06D54">
      <w:pPr>
        <w:contextualSpacing/>
        <w:rPr>
          <w:rFonts w:ascii="Calibri" w:hAnsi="Calibri" w:cs="Calibri"/>
          <w:sz w:val="22"/>
          <w:szCs w:val="22"/>
          <w:lang w:eastAsia="en-US"/>
        </w:rPr>
      </w:pPr>
    </w:p>
    <w:p w14:paraId="3E992154" w14:textId="77777777" w:rsidR="00C06D54" w:rsidRPr="00AD793A" w:rsidRDefault="00C06D54" w:rsidP="00C06D54">
      <w:pPr>
        <w:contextualSpacing/>
        <w:rPr>
          <w:rFonts w:ascii="Calibri" w:hAnsi="Calibri" w:cs="Calibri"/>
          <w:b/>
          <w:sz w:val="22"/>
          <w:szCs w:val="22"/>
          <w:lang w:eastAsia="en-US"/>
        </w:rPr>
      </w:pPr>
      <w:r w:rsidRPr="00AD793A">
        <w:rPr>
          <w:rFonts w:ascii="Calibri" w:hAnsi="Calibri" w:cs="Calibri"/>
          <w:b/>
          <w:sz w:val="22"/>
          <w:szCs w:val="22"/>
          <w:lang w:eastAsia="en-US"/>
        </w:rPr>
        <w:t>BIBLIOGRAFIE</w:t>
      </w:r>
    </w:p>
    <w:p w14:paraId="13A078F9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793A">
        <w:rPr>
          <w:rFonts w:ascii="Calibri" w:hAnsi="Calibri" w:cs="Calibri"/>
          <w:sz w:val="22"/>
          <w:szCs w:val="22"/>
        </w:rPr>
        <w:t xml:space="preserve">Ambrose, D., Sternberg, R., (2016). </w:t>
      </w:r>
      <w:r w:rsidRPr="00AD793A">
        <w:rPr>
          <w:rFonts w:ascii="Calibri" w:hAnsi="Calibri" w:cs="Calibri"/>
          <w:i/>
          <w:sz w:val="22"/>
          <w:szCs w:val="22"/>
        </w:rPr>
        <w:t>Giftedness and Talent in the 21st Century: Adapting to the Torbulence of Globalization.</w:t>
      </w:r>
      <w:r w:rsidRPr="00AD793A">
        <w:rPr>
          <w:rFonts w:ascii="Calibri" w:hAnsi="Calibri" w:cs="Calibri"/>
          <w:sz w:val="22"/>
          <w:szCs w:val="22"/>
        </w:rPr>
        <w:t xml:space="preserve"> SENSE Publishers. Roterdam / Boston - Taipei </w:t>
      </w:r>
    </w:p>
    <w:p w14:paraId="0E4D99B0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793A">
        <w:rPr>
          <w:rFonts w:ascii="Calibri" w:hAnsi="Calibri" w:cs="Calibri"/>
          <w:sz w:val="22"/>
          <w:szCs w:val="22"/>
        </w:rPr>
        <w:t xml:space="preserve">Baba, L., Borca, C., Runceanu, L., Vrăsmaş, E. (2009). </w:t>
      </w:r>
      <w:r w:rsidRPr="00AD793A">
        <w:rPr>
          <w:rFonts w:ascii="Calibri" w:hAnsi="Calibri" w:cs="Calibri"/>
          <w:i/>
          <w:sz w:val="22"/>
          <w:szCs w:val="22"/>
        </w:rPr>
        <w:t>Parteneriat pentru educaţie incluzivă</w:t>
      </w:r>
      <w:r w:rsidRPr="00AD793A">
        <w:rPr>
          <w:rFonts w:ascii="Calibri" w:hAnsi="Calibri" w:cs="Calibri"/>
          <w:sz w:val="22"/>
          <w:szCs w:val="22"/>
        </w:rPr>
        <w:t>. București: Editura Corint.</w:t>
      </w:r>
    </w:p>
    <w:p w14:paraId="520DB560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D793A">
        <w:rPr>
          <w:rFonts w:ascii="Calibri" w:hAnsi="Calibri" w:cs="Calibri"/>
          <w:sz w:val="22"/>
          <w:szCs w:val="22"/>
        </w:rPr>
        <w:t>Booth, T., Ainsow, M., (2007), Indexul incluziunii şcolare. Promovarea educării şi a participării tuturor copiilor la educaţia de masă, Ed. Presa Universitară Clujeană, Cluj-Napoca</w:t>
      </w:r>
    </w:p>
    <w:p w14:paraId="72F405CE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</w:rPr>
        <w:t xml:space="preserve">Crețu, C.(1998). </w:t>
      </w:r>
      <w:r w:rsidRPr="00AD793A">
        <w:rPr>
          <w:rFonts w:ascii="Calibri" w:hAnsi="Calibri" w:cs="Calibri"/>
          <w:i/>
          <w:sz w:val="22"/>
          <w:szCs w:val="22"/>
        </w:rPr>
        <w:t>Curriculum diferențiat și personalizat. Ghid metodologic pentru învățătorii, profesorii și părinții copiilor cu disponibilități aptitudinale înalte</w:t>
      </w:r>
      <w:r w:rsidRPr="00AD793A">
        <w:rPr>
          <w:rFonts w:ascii="Calibri" w:hAnsi="Calibri" w:cs="Calibri"/>
          <w:sz w:val="22"/>
          <w:szCs w:val="22"/>
        </w:rPr>
        <w:t>. Iași: Polirom.</w:t>
      </w:r>
    </w:p>
    <w:p w14:paraId="168F9930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  <w:lang w:eastAsia="en-US"/>
        </w:rPr>
        <w:t xml:space="preserve">Dumitrescu, M., (2004). </w:t>
      </w:r>
      <w:r w:rsidRPr="00AD793A">
        <w:rPr>
          <w:rFonts w:ascii="Calibri" w:hAnsi="Calibri" w:cs="Calibri"/>
          <w:i/>
          <w:sz w:val="22"/>
          <w:szCs w:val="22"/>
          <w:lang w:eastAsia="en-US"/>
        </w:rPr>
        <w:t>Psihopedagogia excelenței. Aspecte metodologice privind identificarea copiilor supradotați</w:t>
      </w:r>
      <w:r w:rsidRPr="00AD793A">
        <w:rPr>
          <w:rFonts w:ascii="Calibri" w:hAnsi="Calibri" w:cs="Calibri"/>
          <w:sz w:val="22"/>
          <w:szCs w:val="22"/>
          <w:lang w:eastAsia="en-US"/>
        </w:rPr>
        <w:t>. Craiova: Editura Arves.</w:t>
      </w:r>
    </w:p>
    <w:p w14:paraId="1DF488E7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  <w:lang w:eastAsia="en-US"/>
        </w:rPr>
        <w:t xml:space="preserve">Dumitrescu, M., (2009). </w:t>
      </w:r>
      <w:r w:rsidRPr="00AD793A">
        <w:rPr>
          <w:rFonts w:ascii="Calibri" w:hAnsi="Calibri" w:cs="Calibri"/>
          <w:i/>
          <w:sz w:val="22"/>
          <w:szCs w:val="22"/>
          <w:lang w:eastAsia="en-US"/>
        </w:rPr>
        <w:t>Formarea personalului didactic în domeniul elaborării și dezvoltării strategiilor instructiv-educative diferențiate pentru elevii cu aptitudini înalte</w:t>
      </w:r>
      <w:r w:rsidRPr="00AD793A">
        <w:rPr>
          <w:rFonts w:ascii="Calibri" w:hAnsi="Calibri" w:cs="Calibri"/>
          <w:sz w:val="22"/>
          <w:szCs w:val="22"/>
          <w:lang w:eastAsia="en-US"/>
        </w:rPr>
        <w:t>, Teză de doctorat.Iași:  Universitatea ,,Al. I. Cuza” din Iași.</w:t>
      </w:r>
    </w:p>
    <w:p w14:paraId="4934BDD0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bCs/>
          <w:sz w:val="22"/>
          <w:szCs w:val="22"/>
          <w:lang w:eastAsia="en-US"/>
        </w:rPr>
        <w:t>Gherguț, A. (2016).</w:t>
      </w:r>
      <w:r w:rsidRPr="00AD793A">
        <w:rPr>
          <w:rFonts w:ascii="Calibri" w:hAnsi="Calibri" w:cs="Calibri"/>
          <w:bCs/>
          <w:i/>
          <w:sz w:val="22"/>
          <w:szCs w:val="22"/>
          <w:lang w:eastAsia="en-US"/>
        </w:rPr>
        <w:t xml:space="preserve"> Educatia incluziva si pedagogia diversitatii. </w:t>
      </w:r>
      <w:r w:rsidRPr="00AD793A">
        <w:rPr>
          <w:rFonts w:ascii="Calibri" w:hAnsi="Calibri" w:cs="Calibri"/>
          <w:bCs/>
          <w:sz w:val="22"/>
          <w:szCs w:val="22"/>
          <w:lang w:eastAsia="en-US"/>
        </w:rPr>
        <w:t xml:space="preserve">Iași: </w:t>
      </w:r>
      <w:r w:rsidRPr="00AD793A">
        <w:rPr>
          <w:rFonts w:ascii="Calibri" w:hAnsi="Calibri" w:cs="Calibri"/>
          <w:sz w:val="22"/>
          <w:szCs w:val="22"/>
          <w:lang w:eastAsia="en-US"/>
        </w:rPr>
        <w:t>Editura Polirom.</w:t>
      </w:r>
    </w:p>
    <w:p w14:paraId="0762C1BD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bCs/>
          <w:sz w:val="22"/>
          <w:szCs w:val="22"/>
          <w:lang w:eastAsia="en-US"/>
        </w:rPr>
        <w:t>Gherguț, A. (2016).</w:t>
      </w:r>
      <w:r w:rsidRPr="00AD793A">
        <w:rPr>
          <w:rFonts w:ascii="Calibri" w:hAnsi="Calibri" w:cs="Calibri"/>
          <w:bCs/>
          <w:i/>
          <w:sz w:val="22"/>
          <w:szCs w:val="22"/>
          <w:lang w:eastAsia="en-US"/>
        </w:rPr>
        <w:t xml:space="preserve"> Educatia specială. Ghid metodologic. </w:t>
      </w:r>
      <w:r w:rsidRPr="00AD793A">
        <w:rPr>
          <w:rFonts w:ascii="Calibri" w:hAnsi="Calibri" w:cs="Calibri"/>
          <w:bCs/>
          <w:sz w:val="22"/>
          <w:szCs w:val="22"/>
          <w:lang w:eastAsia="en-US"/>
        </w:rPr>
        <w:t>Iași:</w:t>
      </w:r>
      <w:r w:rsidRPr="00AD793A">
        <w:rPr>
          <w:rFonts w:ascii="Calibri" w:hAnsi="Calibri" w:cs="Calibri"/>
          <w:bCs/>
          <w:i/>
          <w:sz w:val="22"/>
          <w:szCs w:val="22"/>
          <w:lang w:eastAsia="en-US"/>
        </w:rPr>
        <w:t xml:space="preserve"> </w:t>
      </w:r>
      <w:r w:rsidRPr="00AD793A">
        <w:rPr>
          <w:rFonts w:ascii="Calibri" w:hAnsi="Calibri" w:cs="Calibri"/>
          <w:sz w:val="22"/>
          <w:szCs w:val="22"/>
          <w:lang w:eastAsia="en-US"/>
        </w:rPr>
        <w:t>Editura Polirom.</w:t>
      </w:r>
    </w:p>
    <w:p w14:paraId="72AF15B9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  <w:lang w:eastAsia="en-US"/>
        </w:rPr>
        <w:t xml:space="preserve">Golu, F. (2015). </w:t>
      </w:r>
      <w:r w:rsidRPr="00AD793A">
        <w:rPr>
          <w:rFonts w:ascii="Calibri" w:hAnsi="Calibri" w:cs="Calibri"/>
          <w:i/>
          <w:sz w:val="22"/>
          <w:szCs w:val="22"/>
          <w:lang w:eastAsia="en-US"/>
        </w:rPr>
        <w:t>Manual de psihologia dezvoltării. O perspectivă psihodinamică</w:t>
      </w:r>
      <w:r w:rsidRPr="00AD793A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Pr="00AD793A">
        <w:rPr>
          <w:rFonts w:ascii="Calibri" w:hAnsi="Calibri" w:cs="Calibri"/>
          <w:bCs/>
          <w:sz w:val="22"/>
          <w:szCs w:val="22"/>
          <w:lang w:eastAsia="en-US"/>
        </w:rPr>
        <w:t>Iași:</w:t>
      </w:r>
      <w:r w:rsidRPr="00AD793A">
        <w:rPr>
          <w:rFonts w:ascii="Calibri" w:hAnsi="Calibri" w:cs="Calibri"/>
          <w:bCs/>
          <w:i/>
          <w:sz w:val="22"/>
          <w:szCs w:val="22"/>
          <w:lang w:eastAsia="en-US"/>
        </w:rPr>
        <w:t xml:space="preserve"> </w:t>
      </w:r>
      <w:r w:rsidRPr="00AD793A">
        <w:rPr>
          <w:rFonts w:ascii="Calibri" w:hAnsi="Calibri" w:cs="Calibri"/>
          <w:sz w:val="22"/>
          <w:szCs w:val="22"/>
          <w:lang w:eastAsia="en-US"/>
        </w:rPr>
        <w:t>Editura Polirom.</w:t>
      </w:r>
    </w:p>
    <w:p w14:paraId="41E13E89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  <w:lang w:eastAsia="en-US"/>
        </w:rPr>
        <w:t xml:space="preserve">Luștrea, A. (2017). </w:t>
      </w:r>
      <w:r w:rsidRPr="00AD793A">
        <w:rPr>
          <w:rFonts w:ascii="Calibri" w:hAnsi="Calibri" w:cs="Calibri"/>
          <w:i/>
          <w:sz w:val="22"/>
          <w:szCs w:val="22"/>
          <w:lang w:eastAsia="en-US"/>
        </w:rPr>
        <w:t>Diferențiere în învățare prin cooperare la clasă</w:t>
      </w:r>
      <w:r w:rsidRPr="00AD793A">
        <w:rPr>
          <w:rFonts w:ascii="Calibri" w:hAnsi="Calibri" w:cs="Calibri"/>
          <w:sz w:val="22"/>
          <w:szCs w:val="22"/>
          <w:lang w:eastAsia="en-US"/>
        </w:rPr>
        <w:t>. Timișoara: Editura Universității de Vest.</w:t>
      </w:r>
    </w:p>
    <w:p w14:paraId="7928EFFF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  <w:lang w:eastAsia="en-US"/>
        </w:rPr>
        <w:t>Marzano, R. (2003). What Works in Schools:  Translating Research into Action. Alexandria, VA: Association for Supervision and Curriculum Development.</w:t>
      </w:r>
    </w:p>
    <w:p w14:paraId="328C0EDC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  <w:lang w:eastAsia="en-US"/>
        </w:rPr>
        <w:t>Marzano, R. J., Pickering, Debra J,, and Pollock, Jane E. (2001). Classroom Instruction that Works:  Research-based Strategies for Increasing Student Achievement. Alexandria, VA: Association for Supervision and Curriculum Development.</w:t>
      </w:r>
    </w:p>
    <w:p w14:paraId="4222E643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  <w:lang w:eastAsia="en-US"/>
        </w:rPr>
        <w:lastRenderedPageBreak/>
        <w:t xml:space="preserve">Miclea, M., Lemeni G., (1999). ,Aplicațiile științifice cognitive în educație (I), Inteligența și modificabilitatea ei, în </w:t>
      </w:r>
      <w:r w:rsidRPr="00AD793A">
        <w:rPr>
          <w:rFonts w:ascii="Calibri" w:hAnsi="Calibri" w:cs="Calibri"/>
          <w:i/>
          <w:sz w:val="22"/>
          <w:szCs w:val="22"/>
          <w:lang w:eastAsia="en-US"/>
        </w:rPr>
        <w:t>Cogniție, creier, comportament</w:t>
      </w:r>
      <w:r w:rsidRPr="00AD793A">
        <w:rPr>
          <w:rFonts w:ascii="Calibri" w:hAnsi="Calibri" w:cs="Calibri"/>
          <w:sz w:val="22"/>
          <w:szCs w:val="22"/>
          <w:lang w:eastAsia="en-US"/>
        </w:rPr>
        <w:t>, Asociația de Științe Cognitive din  România, 1-2</w:t>
      </w:r>
    </w:p>
    <w:p w14:paraId="4FE87819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  <w:lang w:eastAsia="en-US"/>
        </w:rPr>
        <w:t xml:space="preserve">Peeters, T. (2016). </w:t>
      </w:r>
      <w:r w:rsidRPr="00AD793A">
        <w:rPr>
          <w:rFonts w:ascii="Calibri" w:hAnsi="Calibri" w:cs="Calibri"/>
          <w:i/>
          <w:sz w:val="22"/>
          <w:szCs w:val="22"/>
          <w:lang w:eastAsia="en-US"/>
        </w:rPr>
        <w:t>Autismul. Teorie și intervenție educațională</w:t>
      </w:r>
      <w:r w:rsidRPr="00AD793A">
        <w:rPr>
          <w:rFonts w:ascii="Calibri" w:hAnsi="Calibri" w:cs="Calibri"/>
          <w:sz w:val="22"/>
          <w:szCs w:val="22"/>
          <w:lang w:eastAsia="en-US"/>
        </w:rPr>
        <w:t>. Iași: Polirom.</w:t>
      </w:r>
    </w:p>
    <w:p w14:paraId="2454362B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  <w:lang w:eastAsia="en-US"/>
        </w:rPr>
        <w:t xml:space="preserve">Popovici, D. V. (2007). </w:t>
      </w:r>
      <w:r w:rsidRPr="00AD793A">
        <w:rPr>
          <w:rFonts w:ascii="Calibri" w:hAnsi="Calibri" w:cs="Calibri"/>
          <w:i/>
          <w:sz w:val="22"/>
          <w:szCs w:val="22"/>
          <w:lang w:eastAsia="en-US"/>
        </w:rPr>
        <w:t>Orientări teoretice și practice în educaţia integrată</w:t>
      </w:r>
      <w:r w:rsidRPr="00AD793A">
        <w:rPr>
          <w:rFonts w:ascii="Calibri" w:hAnsi="Calibri" w:cs="Calibri"/>
          <w:sz w:val="22"/>
          <w:szCs w:val="22"/>
          <w:lang w:eastAsia="en-US"/>
        </w:rPr>
        <w:t>.  Arad: Editura Universităţii Aurel Vlaicu.</w:t>
      </w:r>
    </w:p>
    <w:p w14:paraId="4DAED65A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  <w:lang w:eastAsia="en-US"/>
        </w:rPr>
        <w:t xml:space="preserve">Stănescu, I. M. (2002). </w:t>
      </w:r>
      <w:r w:rsidRPr="00AD793A">
        <w:rPr>
          <w:rFonts w:ascii="Calibri" w:hAnsi="Calibri" w:cs="Calibri"/>
          <w:i/>
          <w:sz w:val="22"/>
          <w:szCs w:val="22"/>
          <w:lang w:eastAsia="en-US"/>
        </w:rPr>
        <w:t>Instruirea diferențiată a elevilor supradotați</w:t>
      </w:r>
      <w:r w:rsidRPr="00AD793A">
        <w:rPr>
          <w:rFonts w:ascii="Calibri" w:hAnsi="Calibri" w:cs="Calibri"/>
          <w:sz w:val="22"/>
          <w:szCs w:val="22"/>
          <w:lang w:eastAsia="en-US"/>
        </w:rPr>
        <w:t>. Iași: Polirom.</w:t>
      </w:r>
    </w:p>
    <w:p w14:paraId="47622684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  <w:lang w:eastAsia="en-US"/>
        </w:rPr>
        <w:t>omlinson, C. A. (2004a). Differentiation in Diverse Settings. School Administrator, Vol. 61(Issue 7), p28, 26p, 21c.</w:t>
      </w:r>
    </w:p>
    <w:p w14:paraId="1B6C7E68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  <w:lang w:eastAsia="en-US"/>
        </w:rPr>
        <w:t>Tomlinson, C. A. (2004b). Sharing Responsibility for Differentiating Instruction. Roeper Review;, Vol. 26(Issue 4,), p188, 182p.</w:t>
      </w:r>
    </w:p>
    <w:p w14:paraId="2C3A1733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  <w:lang w:eastAsia="en-US"/>
        </w:rPr>
        <w:t>Tomlinson, C. A., et al. (2002). The Parallel Curriculum:  A Design to Develop High Potential and Challenge High Ability Learners. Thousand Oaks, CA: Corwin Press, Inc.</w:t>
      </w:r>
    </w:p>
    <w:p w14:paraId="4B98DAF1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  <w:lang w:eastAsia="en-US"/>
        </w:rPr>
        <w:t>Tomlinson, C. A. a. E., Caroline Cunningham. (2003a). Differentiation in Practice:  A Resource Guide for Differentiating Curriculum, Grades 5-9. Alexandria, VA: Association for Supervision and Curriculum Development.</w:t>
      </w:r>
    </w:p>
    <w:p w14:paraId="42141A1B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  <w:lang w:eastAsia="en-US"/>
        </w:rPr>
        <w:t>Tomlinson, C. A. a. E., Caroline Cunningham. (2003b). Differentiation in Practice:  A Resource Guide for Differentiating Curriculum, Grades K-5. Alexandria, VA: Association for Supervision and Curriculum Development.</w:t>
      </w:r>
    </w:p>
    <w:p w14:paraId="183A4D63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  <w:lang w:eastAsia="en-US"/>
        </w:rPr>
        <w:t>Tomlinson, C. A. a. S. D. A. (2000). Leadership for Differentiating Schools and Classrooms. Alexandria, VA: Association for Supervision and Curriculum Development.s</w:t>
      </w:r>
    </w:p>
    <w:p w14:paraId="0FB77EB3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  <w:lang w:eastAsia="en-US"/>
        </w:rPr>
        <w:t xml:space="preserve">Ungureanu, D. (1998). </w:t>
      </w:r>
      <w:r w:rsidRPr="00AD793A">
        <w:rPr>
          <w:rFonts w:ascii="Calibri" w:hAnsi="Calibri" w:cs="Calibri"/>
          <w:i/>
          <w:sz w:val="22"/>
          <w:szCs w:val="22"/>
          <w:lang w:eastAsia="en-US"/>
        </w:rPr>
        <w:t>Copii cu dificultati de invatare</w:t>
      </w:r>
      <w:r w:rsidRPr="00AD793A">
        <w:rPr>
          <w:rFonts w:ascii="Calibri" w:hAnsi="Calibri" w:cs="Calibri"/>
          <w:sz w:val="22"/>
          <w:szCs w:val="22"/>
          <w:lang w:eastAsia="en-US"/>
        </w:rPr>
        <w:t>. Bucureşti: EDP</w:t>
      </w:r>
    </w:p>
    <w:p w14:paraId="0D844131" w14:textId="77777777" w:rsidR="00C06D54" w:rsidRPr="00AD793A" w:rsidRDefault="00C06D54" w:rsidP="00C06D54">
      <w:pPr>
        <w:numPr>
          <w:ilvl w:val="0"/>
          <w:numId w:val="3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  <w:lang w:eastAsia="en-US"/>
        </w:rPr>
        <w:t xml:space="preserve">Ungureanu, D. (2000). </w:t>
      </w:r>
      <w:r w:rsidRPr="00AD793A">
        <w:rPr>
          <w:rFonts w:ascii="Calibri" w:hAnsi="Calibri" w:cs="Calibri"/>
          <w:i/>
          <w:sz w:val="22"/>
          <w:szCs w:val="22"/>
          <w:lang w:eastAsia="en-US"/>
        </w:rPr>
        <w:t>Educaţia integrată şi şcoala inclusivă</w:t>
      </w:r>
      <w:r w:rsidRPr="00AD793A">
        <w:rPr>
          <w:rFonts w:ascii="Calibri" w:hAnsi="Calibri" w:cs="Calibri"/>
          <w:sz w:val="22"/>
          <w:szCs w:val="22"/>
          <w:lang w:eastAsia="en-US"/>
        </w:rPr>
        <w:t>. Timişoara: Editura de Vest.</w:t>
      </w:r>
    </w:p>
    <w:p w14:paraId="25C5B611" w14:textId="77777777" w:rsidR="00C06D54" w:rsidRPr="00AD793A" w:rsidRDefault="00C06D54" w:rsidP="00C06D54">
      <w:pPr>
        <w:ind w:left="72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CE665AC" w14:textId="77777777" w:rsidR="00C06D54" w:rsidRPr="00AD793A" w:rsidRDefault="00C06D54" w:rsidP="00C06D54">
      <w:pPr>
        <w:contextualSpacing/>
        <w:rPr>
          <w:rFonts w:ascii="Calibri" w:hAnsi="Calibri" w:cs="Calibri"/>
          <w:b/>
          <w:sz w:val="22"/>
          <w:szCs w:val="22"/>
          <w:lang w:eastAsia="en-US"/>
        </w:rPr>
      </w:pPr>
      <w:r w:rsidRPr="00AD793A">
        <w:rPr>
          <w:rFonts w:ascii="Calibri" w:hAnsi="Calibri" w:cs="Calibri"/>
          <w:b/>
          <w:sz w:val="22"/>
          <w:szCs w:val="22"/>
          <w:lang w:eastAsia="en-US"/>
        </w:rPr>
        <w:t>WEBOGRAFIE</w:t>
      </w:r>
    </w:p>
    <w:p w14:paraId="1DD73381" w14:textId="77777777" w:rsidR="00C06D54" w:rsidRPr="00AD793A" w:rsidRDefault="00C06D54" w:rsidP="00C06D54">
      <w:pPr>
        <w:numPr>
          <w:ilvl w:val="0"/>
          <w:numId w:val="33"/>
        </w:numPr>
        <w:contextualSpacing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i/>
          <w:sz w:val="22"/>
          <w:szCs w:val="22"/>
          <w:lang w:eastAsia="en-US"/>
        </w:rPr>
        <w:t>Gifted Education Practices</w:t>
      </w:r>
      <w:r w:rsidRPr="00AD793A">
        <w:rPr>
          <w:rFonts w:ascii="Calibri" w:hAnsi="Calibri" w:cs="Calibri"/>
          <w:sz w:val="22"/>
          <w:szCs w:val="22"/>
          <w:lang w:eastAsia="en-US"/>
        </w:rPr>
        <w:t>. accesat la http://www.nagc.org/resourcespublications/gifted-education-practices în 21.07.2020</w:t>
      </w:r>
    </w:p>
    <w:p w14:paraId="63DFA24B" w14:textId="77777777" w:rsidR="00C06D54" w:rsidRPr="00AD793A" w:rsidRDefault="00C06D54" w:rsidP="00C06D54">
      <w:pPr>
        <w:numPr>
          <w:ilvl w:val="0"/>
          <w:numId w:val="33"/>
        </w:numPr>
        <w:contextualSpacing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sz w:val="22"/>
          <w:szCs w:val="22"/>
          <w:lang w:eastAsia="en-US"/>
        </w:rPr>
        <w:t xml:space="preserve">Loveless, T., Farkas, S., &amp; Duffett, A. (2008). </w:t>
      </w:r>
      <w:r w:rsidRPr="00AD793A">
        <w:rPr>
          <w:rFonts w:ascii="Calibri" w:hAnsi="Calibri" w:cs="Calibri"/>
          <w:i/>
          <w:sz w:val="22"/>
          <w:szCs w:val="22"/>
          <w:lang w:eastAsia="en-US"/>
        </w:rPr>
        <w:t>High-achieving students in the era of NCLB</w:t>
      </w:r>
      <w:r w:rsidRPr="00AD793A">
        <w:rPr>
          <w:rFonts w:ascii="Calibri" w:hAnsi="Calibri" w:cs="Calibri"/>
          <w:sz w:val="22"/>
          <w:szCs w:val="22"/>
          <w:lang w:eastAsia="en-US"/>
        </w:rPr>
        <w:t>. Washington, DC: Thomas B. Fordham Institute accesat la https://edex.s3- us-west2.amazonaws.com/publication/pdfs/200806 18_high_achievers_7.pdf în 21.07.2020</w:t>
      </w:r>
    </w:p>
    <w:p w14:paraId="15620D90" w14:textId="77777777" w:rsidR="00C06D54" w:rsidRPr="00AD793A" w:rsidRDefault="00C06D54" w:rsidP="00C06D54">
      <w:pPr>
        <w:numPr>
          <w:ilvl w:val="0"/>
          <w:numId w:val="33"/>
        </w:numPr>
        <w:contextualSpacing/>
        <w:rPr>
          <w:rFonts w:ascii="Calibri" w:hAnsi="Calibri" w:cs="Calibri"/>
          <w:sz w:val="22"/>
          <w:szCs w:val="22"/>
          <w:lang w:eastAsia="en-US"/>
        </w:rPr>
      </w:pPr>
      <w:r w:rsidRPr="00AD793A">
        <w:rPr>
          <w:rFonts w:ascii="Calibri" w:hAnsi="Calibri" w:cs="Calibri"/>
          <w:i/>
          <w:sz w:val="22"/>
          <w:szCs w:val="22"/>
          <w:lang w:eastAsia="en-US"/>
        </w:rPr>
        <w:t>5 Ways Gifted Students Learn Differently</w:t>
      </w:r>
      <w:r w:rsidRPr="00AD793A">
        <w:rPr>
          <w:rFonts w:ascii="Calibri" w:hAnsi="Calibri" w:cs="Calibri"/>
          <w:sz w:val="22"/>
          <w:szCs w:val="22"/>
          <w:lang w:eastAsia="en-US"/>
        </w:rPr>
        <w:t xml:space="preserve"> accesat la http://blogs.edweek.org/edweek/education_futures/2016/06/5_ways_gifted_students_lea rn_differently.html în 21.07.2020 </w:t>
      </w:r>
    </w:p>
    <w:p w14:paraId="6DAEF985" w14:textId="77777777" w:rsidR="00C06D54" w:rsidRPr="00AD793A" w:rsidRDefault="00C06D54" w:rsidP="00C06D54">
      <w:pPr>
        <w:contextualSpacing/>
        <w:rPr>
          <w:rFonts w:ascii="Calibri" w:hAnsi="Calibri" w:cs="Calibri"/>
          <w:sz w:val="22"/>
          <w:szCs w:val="22"/>
          <w:lang w:eastAsia="en-US"/>
        </w:rPr>
      </w:pPr>
    </w:p>
    <w:p w14:paraId="6CA74399" w14:textId="77777777" w:rsidR="00C06D54" w:rsidRPr="00AD793A" w:rsidRDefault="00C06D54" w:rsidP="00C06D54">
      <w:pPr>
        <w:numPr>
          <w:ilvl w:val="0"/>
          <w:numId w:val="31"/>
        </w:numPr>
        <w:spacing w:line="276" w:lineRule="auto"/>
        <w:ind w:left="714" w:hanging="357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AD793A">
        <w:rPr>
          <w:rFonts w:ascii="Calibri" w:hAnsi="Calibri" w:cs="Calibri"/>
          <w:b/>
          <w:sz w:val="22"/>
          <w:szCs w:val="22"/>
          <w:lang w:eastAsia="en-US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C06D54" w:rsidRPr="00AD793A" w14:paraId="11CC8BD3" w14:textId="77777777" w:rsidTr="00AF79DA">
        <w:tc>
          <w:tcPr>
            <w:tcW w:w="10207" w:type="dxa"/>
          </w:tcPr>
          <w:p w14:paraId="67D92E27" w14:textId="77777777" w:rsidR="00C06D54" w:rsidRPr="00AD793A" w:rsidRDefault="00C06D54" w:rsidP="00AF79DA">
            <w:pPr>
              <w:ind w:left="7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F1CE894" w14:textId="77777777" w:rsidR="00C06D54" w:rsidRPr="00AD793A" w:rsidRDefault="00C06D54" w:rsidP="00C06D54">
      <w:pPr>
        <w:contextualSpacing/>
        <w:rPr>
          <w:rFonts w:ascii="Calibri" w:hAnsi="Calibri" w:cs="Calibri"/>
          <w:sz w:val="22"/>
          <w:szCs w:val="22"/>
          <w:lang w:eastAsia="en-US"/>
        </w:rPr>
      </w:pPr>
    </w:p>
    <w:p w14:paraId="4313682E" w14:textId="77777777" w:rsidR="00C06D54" w:rsidRPr="00AD793A" w:rsidRDefault="00C06D54" w:rsidP="00C06D54">
      <w:pPr>
        <w:numPr>
          <w:ilvl w:val="0"/>
          <w:numId w:val="31"/>
        </w:numPr>
        <w:spacing w:line="276" w:lineRule="auto"/>
        <w:ind w:left="714" w:hanging="357"/>
        <w:contextualSpacing/>
        <w:rPr>
          <w:rFonts w:ascii="Calibri" w:hAnsi="Calibri" w:cs="Calibri"/>
          <w:b/>
          <w:sz w:val="22"/>
          <w:szCs w:val="22"/>
          <w:lang w:eastAsia="en-US"/>
        </w:rPr>
      </w:pPr>
      <w:r w:rsidRPr="00AD793A">
        <w:rPr>
          <w:rFonts w:ascii="Calibri" w:hAnsi="Calibri" w:cs="Calibri"/>
          <w:b/>
          <w:sz w:val="22"/>
          <w:szCs w:val="22"/>
          <w:lang w:eastAsia="en-US"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8"/>
        <w:gridCol w:w="3398"/>
        <w:gridCol w:w="2353"/>
        <w:gridCol w:w="1880"/>
      </w:tblGrid>
      <w:tr w:rsidR="00C06D54" w:rsidRPr="00AD793A" w14:paraId="322D9DD8" w14:textId="77777777" w:rsidTr="00780485">
        <w:tc>
          <w:tcPr>
            <w:tcW w:w="0" w:type="auto"/>
          </w:tcPr>
          <w:p w14:paraId="5A9094A3" w14:textId="77777777" w:rsidR="00C06D54" w:rsidRPr="00AD793A" w:rsidRDefault="00C06D54" w:rsidP="00AF79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Tip activitate</w:t>
            </w:r>
          </w:p>
        </w:tc>
        <w:tc>
          <w:tcPr>
            <w:tcW w:w="0" w:type="auto"/>
            <w:shd w:val="clear" w:color="auto" w:fill="C4BC96"/>
          </w:tcPr>
          <w:p w14:paraId="77A30894" w14:textId="7C2B3D22" w:rsidR="00C06D54" w:rsidRPr="00AD793A" w:rsidRDefault="00780485" w:rsidP="00AF79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</w:t>
            </w:r>
            <w:r w:rsidR="00C06D54" w:rsidRPr="00AD79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.1 Criterii de evaluare</w:t>
            </w:r>
          </w:p>
        </w:tc>
        <w:tc>
          <w:tcPr>
            <w:tcW w:w="2353" w:type="dxa"/>
          </w:tcPr>
          <w:p w14:paraId="448D0E07" w14:textId="0C076482" w:rsidR="00C06D54" w:rsidRPr="00AD793A" w:rsidRDefault="00780485" w:rsidP="00AF79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</w:t>
            </w:r>
            <w:r w:rsidR="00C06D54" w:rsidRPr="00AD79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.2 Metode de evaluare</w:t>
            </w:r>
          </w:p>
        </w:tc>
        <w:tc>
          <w:tcPr>
            <w:tcW w:w="1880" w:type="dxa"/>
          </w:tcPr>
          <w:p w14:paraId="725FEA8C" w14:textId="3FA7210E" w:rsidR="00C06D54" w:rsidRPr="00AD793A" w:rsidRDefault="00780485" w:rsidP="00AF79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</w:t>
            </w:r>
            <w:r w:rsidR="00C06D54" w:rsidRPr="00AD79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.3 Pondere din nota finală</w:t>
            </w:r>
          </w:p>
        </w:tc>
      </w:tr>
      <w:tr w:rsidR="00C06D54" w:rsidRPr="00AD793A" w14:paraId="49AA3CD5" w14:textId="77777777" w:rsidTr="00780485">
        <w:tc>
          <w:tcPr>
            <w:tcW w:w="0" w:type="auto"/>
          </w:tcPr>
          <w:p w14:paraId="2234A775" w14:textId="6DBE35E0" w:rsidR="00C06D54" w:rsidRPr="00AD793A" w:rsidRDefault="00780485" w:rsidP="00AF79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</w:t>
            </w:r>
            <w:r w:rsidR="00C06D54" w:rsidRPr="00AD79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.4 Curs</w:t>
            </w:r>
          </w:p>
        </w:tc>
        <w:tc>
          <w:tcPr>
            <w:tcW w:w="0" w:type="auto"/>
            <w:shd w:val="clear" w:color="auto" w:fill="C4BC96"/>
          </w:tcPr>
          <w:p w14:paraId="5908F571" w14:textId="77777777" w:rsidR="00C06D54" w:rsidRPr="00AD793A" w:rsidRDefault="00C06D54" w:rsidP="00AF79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 xml:space="preserve">Evaluarea cunoștințelor </w:t>
            </w:r>
          </w:p>
        </w:tc>
        <w:tc>
          <w:tcPr>
            <w:tcW w:w="2353" w:type="dxa"/>
          </w:tcPr>
          <w:p w14:paraId="47BCC3E5" w14:textId="77777777" w:rsidR="00C06D54" w:rsidRPr="00AD793A" w:rsidRDefault="00C06D54" w:rsidP="00AF79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Test grilă</w:t>
            </w:r>
          </w:p>
        </w:tc>
        <w:tc>
          <w:tcPr>
            <w:tcW w:w="1880" w:type="dxa"/>
          </w:tcPr>
          <w:p w14:paraId="2FB40BD9" w14:textId="77777777" w:rsidR="00C06D54" w:rsidRPr="00AD793A" w:rsidRDefault="00C06D54" w:rsidP="00AF79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50 %</w:t>
            </w:r>
          </w:p>
        </w:tc>
      </w:tr>
      <w:tr w:rsidR="00C06D54" w:rsidRPr="00AD793A" w14:paraId="35B2ADF7" w14:textId="77777777" w:rsidTr="00780485">
        <w:tc>
          <w:tcPr>
            <w:tcW w:w="0" w:type="auto"/>
          </w:tcPr>
          <w:p w14:paraId="22EC9052" w14:textId="070B917E" w:rsidR="00C06D54" w:rsidRPr="00AD793A" w:rsidRDefault="00780485" w:rsidP="00AF79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</w:t>
            </w:r>
            <w:r w:rsidR="00C06D54" w:rsidRPr="00AD79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.5 Seminar / laborator</w:t>
            </w:r>
          </w:p>
        </w:tc>
        <w:tc>
          <w:tcPr>
            <w:tcW w:w="0" w:type="auto"/>
            <w:shd w:val="clear" w:color="auto" w:fill="C4BC96"/>
          </w:tcPr>
          <w:p w14:paraId="68696491" w14:textId="77777777" w:rsidR="00C06D54" w:rsidRPr="00AD793A" w:rsidRDefault="00C06D54" w:rsidP="00AF79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Diferențiere curriculară copii cu CES sau/și dizabilități</w:t>
            </w:r>
          </w:p>
          <w:p w14:paraId="2E43F328" w14:textId="77777777" w:rsidR="00C06D54" w:rsidRPr="00AD793A" w:rsidRDefault="00C06D54" w:rsidP="00AF79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t>sau</w:t>
            </w:r>
          </w:p>
          <w:p w14:paraId="7FD40F42" w14:textId="77777777" w:rsidR="00C06D54" w:rsidRPr="00AD793A" w:rsidRDefault="00C06D54" w:rsidP="00AF79D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D793A">
              <w:rPr>
                <w:rFonts w:ascii="Calibri" w:hAnsi="Calibri" w:cs="Calibri"/>
                <w:sz w:val="22"/>
                <w:szCs w:val="22"/>
              </w:rPr>
              <w:lastRenderedPageBreak/>
              <w:t>Diferențiere curriculară copii supradotați / talentați</w:t>
            </w:r>
          </w:p>
        </w:tc>
        <w:tc>
          <w:tcPr>
            <w:tcW w:w="2353" w:type="dxa"/>
          </w:tcPr>
          <w:p w14:paraId="055A4CFE" w14:textId="77777777" w:rsidR="00C06D54" w:rsidRPr="00AD793A" w:rsidRDefault="00C06D54" w:rsidP="00AF79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Portofoliu realizat în echipe formate din doi studenți.</w:t>
            </w:r>
          </w:p>
        </w:tc>
        <w:tc>
          <w:tcPr>
            <w:tcW w:w="1880" w:type="dxa"/>
          </w:tcPr>
          <w:p w14:paraId="7448630B" w14:textId="77777777" w:rsidR="00C06D54" w:rsidRPr="00AD793A" w:rsidRDefault="00C06D54" w:rsidP="00AF79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50%</w:t>
            </w:r>
          </w:p>
        </w:tc>
      </w:tr>
      <w:tr w:rsidR="00C06D54" w:rsidRPr="00AD793A" w14:paraId="7759BA0A" w14:textId="77777777" w:rsidTr="00C06D54">
        <w:tc>
          <w:tcPr>
            <w:tcW w:w="9379" w:type="dxa"/>
            <w:gridSpan w:val="4"/>
          </w:tcPr>
          <w:p w14:paraId="22C8A304" w14:textId="67287EE9" w:rsidR="00C06D54" w:rsidRPr="00AD793A" w:rsidRDefault="00780485" w:rsidP="00AF79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</w:t>
            </w:r>
            <w:r w:rsidR="00C06D54" w:rsidRPr="00AD79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.6 Standard minim de performanţă</w:t>
            </w:r>
          </w:p>
        </w:tc>
      </w:tr>
      <w:tr w:rsidR="00C06D54" w:rsidRPr="00AD793A" w14:paraId="49BBFE15" w14:textId="77777777" w:rsidTr="00C06D54">
        <w:tc>
          <w:tcPr>
            <w:tcW w:w="9379" w:type="dxa"/>
            <w:gridSpan w:val="4"/>
          </w:tcPr>
          <w:p w14:paraId="48431788" w14:textId="77777777" w:rsidR="00C06D54" w:rsidRPr="00AD793A" w:rsidRDefault="00C06D54" w:rsidP="00AF79DA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Atingerea a 50% din cerințele pentru curs și pentru seminar</w:t>
            </w:r>
          </w:p>
          <w:p w14:paraId="50EA86A9" w14:textId="77777777" w:rsidR="00C06D54" w:rsidRPr="00AD793A" w:rsidRDefault="00C06D54" w:rsidP="00C06D54">
            <w:pPr>
              <w:numPr>
                <w:ilvl w:val="0"/>
                <w:numId w:val="28"/>
              </w:num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D79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Adaptare curriculară copii cu CES sau/și dizabilități</w:t>
            </w:r>
          </w:p>
        </w:tc>
      </w:tr>
    </w:tbl>
    <w:p w14:paraId="77CF5DE6" w14:textId="77777777" w:rsidR="00C06D54" w:rsidRDefault="00C06D54" w:rsidP="00C06D54">
      <w:pPr>
        <w:rPr>
          <w:rFonts w:ascii="Calibri" w:hAnsi="Calibri" w:cs="Calibri"/>
          <w:sz w:val="22"/>
          <w:szCs w:val="22"/>
        </w:rPr>
      </w:pPr>
    </w:p>
    <w:p w14:paraId="106EE820" w14:textId="77777777" w:rsidR="00C06D54" w:rsidRDefault="00C06D54" w:rsidP="00C06D54">
      <w:pPr>
        <w:rPr>
          <w:rFonts w:ascii="Calibri" w:hAnsi="Calibri" w:cs="Calibri"/>
          <w:sz w:val="22"/>
          <w:szCs w:val="22"/>
        </w:rPr>
      </w:pPr>
    </w:p>
    <w:p w14:paraId="4C0F38A8" w14:textId="69522C00" w:rsidR="00C06D54" w:rsidRPr="00AD793A" w:rsidRDefault="00C06D54" w:rsidP="00C06D54">
      <w:pPr>
        <w:rPr>
          <w:rFonts w:ascii="Calibri" w:hAnsi="Calibri" w:cs="Calibri"/>
          <w:sz w:val="22"/>
          <w:szCs w:val="22"/>
        </w:rPr>
      </w:pPr>
      <w:r w:rsidRPr="00AD793A">
        <w:rPr>
          <w:rFonts w:ascii="Calibri" w:hAnsi="Calibri" w:cs="Calibri"/>
          <w:sz w:val="22"/>
          <w:szCs w:val="22"/>
        </w:rPr>
        <w:t>Data completării:</w:t>
      </w:r>
    </w:p>
    <w:p w14:paraId="7EFD5460" w14:textId="77777777" w:rsidR="00C06D54" w:rsidRPr="00AD793A" w:rsidRDefault="00C06D54" w:rsidP="00C06D54">
      <w:pPr>
        <w:rPr>
          <w:rFonts w:ascii="Calibri" w:hAnsi="Calibri" w:cs="Calibri"/>
          <w:sz w:val="22"/>
          <w:szCs w:val="22"/>
        </w:rPr>
      </w:pPr>
      <w:r w:rsidRPr="00AD793A">
        <w:rPr>
          <w:rFonts w:ascii="Calibri" w:hAnsi="Calibri" w:cs="Calibri"/>
          <w:sz w:val="22"/>
          <w:szCs w:val="22"/>
        </w:rPr>
        <w:t>Septembrie 20</w:t>
      </w:r>
      <w:r>
        <w:rPr>
          <w:rFonts w:ascii="Calibri" w:hAnsi="Calibri" w:cs="Calibri"/>
          <w:sz w:val="22"/>
          <w:szCs w:val="22"/>
        </w:rPr>
        <w:t>22</w:t>
      </w:r>
      <w:r w:rsidRPr="00AD793A">
        <w:rPr>
          <w:rFonts w:ascii="Calibri" w:hAnsi="Calibri" w:cs="Calibri"/>
          <w:sz w:val="22"/>
          <w:szCs w:val="22"/>
        </w:rPr>
        <w:t xml:space="preserve">                                            </w:t>
      </w:r>
      <w:r w:rsidRPr="00AD793A">
        <w:rPr>
          <w:rFonts w:ascii="Calibri" w:hAnsi="Calibri" w:cs="Calibri"/>
          <w:sz w:val="22"/>
          <w:szCs w:val="22"/>
        </w:rPr>
        <w:tab/>
        <w:t xml:space="preserve">                       Semnătura titularului de curs:</w:t>
      </w:r>
      <w:r w:rsidRPr="00AD793A">
        <w:rPr>
          <w:rFonts w:ascii="Calibri" w:hAnsi="Calibri" w:cs="Calibri"/>
          <w:sz w:val="22"/>
          <w:szCs w:val="22"/>
        </w:rPr>
        <w:tab/>
      </w:r>
    </w:p>
    <w:p w14:paraId="579AF4CA" w14:textId="77777777" w:rsidR="00C06D54" w:rsidRPr="00AD793A" w:rsidRDefault="00C06D54" w:rsidP="00C06D54">
      <w:pPr>
        <w:tabs>
          <w:tab w:val="left" w:pos="5745"/>
        </w:tabs>
        <w:rPr>
          <w:rFonts w:ascii="Calibri" w:hAnsi="Calibri" w:cs="Calibri"/>
          <w:sz w:val="22"/>
          <w:szCs w:val="22"/>
        </w:rPr>
      </w:pPr>
      <w:r w:rsidRPr="00AD793A">
        <w:rPr>
          <w:rFonts w:ascii="Calibri" w:hAnsi="Calibri" w:cs="Calibri"/>
          <w:sz w:val="22"/>
          <w:szCs w:val="22"/>
        </w:rPr>
        <w:tab/>
        <w:t>Lect. univ. dr. Claudia Borca</w:t>
      </w:r>
      <w:r w:rsidRPr="00AD793A">
        <w:rPr>
          <w:rFonts w:ascii="Calibri" w:hAnsi="Calibri" w:cs="Calibri"/>
          <w:sz w:val="22"/>
          <w:szCs w:val="22"/>
        </w:rPr>
        <w:tab/>
      </w:r>
    </w:p>
    <w:p w14:paraId="6EADC46B" w14:textId="76F607D5" w:rsidR="00C06D54" w:rsidRPr="00AD793A" w:rsidRDefault="00C06D54" w:rsidP="00C06D54">
      <w:pPr>
        <w:tabs>
          <w:tab w:val="left" w:pos="6384"/>
        </w:tabs>
        <w:rPr>
          <w:rFonts w:ascii="Calibri" w:hAnsi="Calibri" w:cs="Calibri"/>
          <w:sz w:val="22"/>
          <w:szCs w:val="22"/>
        </w:rPr>
      </w:pPr>
      <w:r w:rsidRPr="00AD793A">
        <w:rPr>
          <w:rFonts w:ascii="Calibri" w:hAnsi="Calibri" w:cs="Calibri"/>
          <w:sz w:val="22"/>
          <w:szCs w:val="22"/>
        </w:rPr>
        <w:t xml:space="preserve">Semnătura titularului de seminar: </w:t>
      </w:r>
      <w:r w:rsidRPr="00AD793A">
        <w:rPr>
          <w:rFonts w:ascii="Calibri" w:hAnsi="Calibri" w:cs="Calibri"/>
          <w:sz w:val="22"/>
          <w:szCs w:val="22"/>
        </w:rPr>
        <w:tab/>
      </w:r>
    </w:p>
    <w:p w14:paraId="1B553150" w14:textId="77777777" w:rsidR="00C06D54" w:rsidRPr="00AD793A" w:rsidRDefault="00C06D54" w:rsidP="00C06D54">
      <w:pPr>
        <w:rPr>
          <w:rFonts w:ascii="Calibri" w:hAnsi="Calibri" w:cs="Calibri"/>
          <w:sz w:val="22"/>
          <w:szCs w:val="22"/>
        </w:rPr>
      </w:pPr>
      <w:r w:rsidRPr="00AD793A">
        <w:rPr>
          <w:rFonts w:ascii="Calibri" w:hAnsi="Calibri" w:cs="Calibri"/>
          <w:sz w:val="22"/>
          <w:szCs w:val="22"/>
        </w:rPr>
        <w:t>Lect. univ. dr. Claudia Borca</w:t>
      </w:r>
    </w:p>
    <w:p w14:paraId="2E518808" w14:textId="57975DA1" w:rsidR="00C06D54" w:rsidRPr="00AD793A" w:rsidRDefault="00C06D54" w:rsidP="00C06D54">
      <w:pPr>
        <w:rPr>
          <w:rFonts w:ascii="Calibri" w:hAnsi="Calibri" w:cs="Calibri"/>
          <w:sz w:val="22"/>
          <w:szCs w:val="22"/>
        </w:rPr>
      </w:pPr>
    </w:p>
    <w:p w14:paraId="339B2856" w14:textId="09CBCB3A" w:rsidR="00C06D54" w:rsidRDefault="00C06D54" w:rsidP="00802D13">
      <w:pPr>
        <w:rPr>
          <w:rFonts w:asciiTheme="minorHAnsi" w:eastAsia="Calibri" w:hAnsiTheme="minorHAnsi" w:cstheme="minorHAnsi"/>
        </w:rPr>
      </w:pPr>
    </w:p>
    <w:p w14:paraId="6A401B01" w14:textId="231692C6" w:rsidR="005F6BF6" w:rsidRPr="00C06D54" w:rsidRDefault="00C06D54" w:rsidP="00C06D54">
      <w:pPr>
        <w:tabs>
          <w:tab w:val="left" w:pos="5520"/>
        </w:tabs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C06D54">
        <w:rPr>
          <w:rFonts w:asciiTheme="minorHAnsi" w:eastAsia="Calibri" w:hAnsiTheme="minorHAnsi" w:cstheme="minorHAnsi"/>
          <w:sz w:val="22"/>
          <w:szCs w:val="22"/>
        </w:rPr>
        <w:t xml:space="preserve">Director </w:t>
      </w:r>
      <w:r>
        <w:rPr>
          <w:rFonts w:asciiTheme="minorHAnsi" w:eastAsia="Calibri" w:hAnsiTheme="minorHAnsi" w:cstheme="minorHAnsi"/>
          <w:sz w:val="22"/>
          <w:szCs w:val="22"/>
        </w:rPr>
        <w:t>Departamentul pentru Pregătirea Personalului Didactic</w:t>
      </w:r>
      <w:r w:rsidRPr="00C06D54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047BC1F" w14:textId="6A946F8D" w:rsidR="00C06D54" w:rsidRDefault="00C06D54" w:rsidP="00C06D54">
      <w:pPr>
        <w:tabs>
          <w:tab w:val="left" w:pos="5520"/>
        </w:tabs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C06D54">
        <w:rPr>
          <w:rFonts w:asciiTheme="minorHAnsi" w:eastAsia="Calibri" w:hAnsiTheme="minorHAnsi" w:cstheme="minorHAnsi"/>
          <w:sz w:val="22"/>
          <w:szCs w:val="22"/>
        </w:rPr>
        <w:t>Conf. univ. dr. Marian Ilie</w:t>
      </w:r>
    </w:p>
    <w:p w14:paraId="5B886E22" w14:textId="64EFCF04" w:rsidR="00853023" w:rsidRPr="00C06D54" w:rsidRDefault="00853023" w:rsidP="00853023">
      <w:pPr>
        <w:tabs>
          <w:tab w:val="left" w:pos="5520"/>
        </w:tabs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</w:p>
    <w:sectPr w:rsidR="00853023" w:rsidRPr="00C06D54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D5D5" w14:textId="77777777" w:rsidR="00ED1438" w:rsidRDefault="00ED1438" w:rsidP="003E226A">
      <w:r>
        <w:separator/>
      </w:r>
    </w:p>
  </w:endnote>
  <w:endnote w:type="continuationSeparator" w:id="0">
    <w:p w14:paraId="0892442A" w14:textId="77777777" w:rsidR="00ED1438" w:rsidRDefault="00ED1438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5843" w14:textId="77777777" w:rsidR="00ED1438" w:rsidRDefault="00ED1438" w:rsidP="003E226A">
      <w:r>
        <w:separator/>
      </w:r>
    </w:p>
  </w:footnote>
  <w:footnote w:type="continuationSeparator" w:id="0">
    <w:p w14:paraId="6C5479F9" w14:textId="77777777" w:rsidR="00ED1438" w:rsidRDefault="00ED1438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452F3"/>
    <w:multiLevelType w:val="hybridMultilevel"/>
    <w:tmpl w:val="E38C00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F446B"/>
    <w:multiLevelType w:val="hybridMultilevel"/>
    <w:tmpl w:val="E6C24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38448F"/>
    <w:multiLevelType w:val="multilevel"/>
    <w:tmpl w:val="E8C677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 Narrow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 Narrow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 Narrow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 Narrow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 Narro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Arial Narro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 Narro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 Narrow" w:hint="default"/>
        <w:b/>
      </w:rPr>
    </w:lvl>
  </w:abstractNum>
  <w:abstractNum w:abstractNumId="20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E5C3129"/>
    <w:multiLevelType w:val="hybridMultilevel"/>
    <w:tmpl w:val="412EF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914E7"/>
    <w:multiLevelType w:val="hybridMultilevel"/>
    <w:tmpl w:val="27543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193457"/>
    <w:multiLevelType w:val="hybridMultilevel"/>
    <w:tmpl w:val="705607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803162">
    <w:abstractNumId w:val="29"/>
  </w:num>
  <w:num w:numId="2" w16cid:durableId="715545589">
    <w:abstractNumId w:val="0"/>
  </w:num>
  <w:num w:numId="3" w16cid:durableId="1897163737">
    <w:abstractNumId w:val="13"/>
  </w:num>
  <w:num w:numId="4" w16cid:durableId="1229463637">
    <w:abstractNumId w:val="7"/>
  </w:num>
  <w:num w:numId="5" w16cid:durableId="1284072274">
    <w:abstractNumId w:val="32"/>
  </w:num>
  <w:num w:numId="6" w16cid:durableId="1851018264">
    <w:abstractNumId w:val="14"/>
  </w:num>
  <w:num w:numId="7" w16cid:durableId="682442350">
    <w:abstractNumId w:val="8"/>
  </w:num>
  <w:num w:numId="8" w16cid:durableId="689723928">
    <w:abstractNumId w:val="5"/>
  </w:num>
  <w:num w:numId="9" w16cid:durableId="375930496">
    <w:abstractNumId w:val="21"/>
  </w:num>
  <w:num w:numId="10" w16cid:durableId="144052882">
    <w:abstractNumId w:val="18"/>
  </w:num>
  <w:num w:numId="11" w16cid:durableId="276645125">
    <w:abstractNumId w:val="15"/>
  </w:num>
  <w:num w:numId="12" w16cid:durableId="1332027654">
    <w:abstractNumId w:val="11"/>
  </w:num>
  <w:num w:numId="13" w16cid:durableId="345057101">
    <w:abstractNumId w:val="30"/>
  </w:num>
  <w:num w:numId="14" w16cid:durableId="455762028">
    <w:abstractNumId w:val="3"/>
  </w:num>
  <w:num w:numId="15" w16cid:durableId="558590165">
    <w:abstractNumId w:val="12"/>
  </w:num>
  <w:num w:numId="16" w16cid:durableId="1526334162">
    <w:abstractNumId w:val="24"/>
  </w:num>
  <w:num w:numId="17" w16cid:durableId="1689019636">
    <w:abstractNumId w:val="34"/>
  </w:num>
  <w:num w:numId="18" w16cid:durableId="2146002563">
    <w:abstractNumId w:val="9"/>
  </w:num>
  <w:num w:numId="19" w16cid:durableId="375473382">
    <w:abstractNumId w:val="4"/>
  </w:num>
  <w:num w:numId="20" w16cid:durableId="1014921238">
    <w:abstractNumId w:val="16"/>
  </w:num>
  <w:num w:numId="21" w16cid:durableId="844323922">
    <w:abstractNumId w:val="28"/>
  </w:num>
  <w:num w:numId="22" w16cid:durableId="2034988843">
    <w:abstractNumId w:val="33"/>
  </w:num>
  <w:num w:numId="23" w16cid:durableId="1230111576">
    <w:abstractNumId w:val="20"/>
  </w:num>
  <w:num w:numId="24" w16cid:durableId="494029783">
    <w:abstractNumId w:val="31"/>
  </w:num>
  <w:num w:numId="25" w16cid:durableId="250703459">
    <w:abstractNumId w:val="35"/>
  </w:num>
  <w:num w:numId="26" w16cid:durableId="2087146203">
    <w:abstractNumId w:val="2"/>
  </w:num>
  <w:num w:numId="27" w16cid:durableId="2012221895">
    <w:abstractNumId w:val="22"/>
  </w:num>
  <w:num w:numId="28" w16cid:durableId="159279050">
    <w:abstractNumId w:val="25"/>
  </w:num>
  <w:num w:numId="29" w16cid:durableId="63719043">
    <w:abstractNumId w:val="6"/>
  </w:num>
  <w:num w:numId="30" w16cid:durableId="1672023801">
    <w:abstractNumId w:val="1"/>
  </w:num>
  <w:num w:numId="31" w16cid:durableId="1063675310">
    <w:abstractNumId w:val="19"/>
  </w:num>
  <w:num w:numId="32" w16cid:durableId="823132877">
    <w:abstractNumId w:val="10"/>
  </w:num>
  <w:num w:numId="33" w16cid:durableId="139618819">
    <w:abstractNumId w:val="27"/>
  </w:num>
  <w:num w:numId="34" w16cid:durableId="1905991116">
    <w:abstractNumId w:val="17"/>
  </w:num>
  <w:num w:numId="35" w16cid:durableId="1439981331">
    <w:abstractNumId w:val="26"/>
  </w:num>
  <w:num w:numId="36" w16cid:durableId="886285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57761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353A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52E1C"/>
    <w:rsid w:val="007668E1"/>
    <w:rsid w:val="007675A4"/>
    <w:rsid w:val="00775896"/>
    <w:rsid w:val="00780485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3023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2AB1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18AC"/>
    <w:rsid w:val="00B447E7"/>
    <w:rsid w:val="00B45DA8"/>
    <w:rsid w:val="00B46A70"/>
    <w:rsid w:val="00B4785A"/>
    <w:rsid w:val="00B553C7"/>
    <w:rsid w:val="00B66CD7"/>
    <w:rsid w:val="00B66D4A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6D54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0068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1438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2103</Words>
  <Characters>11989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Nr</vt:lpstr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Claudia-Borca</dc:creator>
  <cp:lastModifiedBy>Magda-DPPD</cp:lastModifiedBy>
  <cp:revision>6</cp:revision>
  <cp:lastPrinted>2017-11-08T12:05:00Z</cp:lastPrinted>
  <dcterms:created xsi:type="dcterms:W3CDTF">2022-09-26T05:32:00Z</dcterms:created>
  <dcterms:modified xsi:type="dcterms:W3CDTF">2022-10-15T08:34:00Z</dcterms:modified>
</cp:coreProperties>
</file>